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D4" w:rsidRPr="009A3CEF" w:rsidRDefault="00ED7AD4" w:rsidP="00061D14">
      <w:pPr>
        <w:spacing w:before="100" w:beforeAutospacing="1" w:after="100" w:afterAutospacing="1" w:line="240" w:lineRule="auto"/>
        <w:jc w:val="right"/>
        <w:rPr>
          <w:rFonts w:ascii="Arial" w:hAnsi="Arial" w:cs="Arial"/>
          <w:sz w:val="24"/>
          <w:szCs w:val="24"/>
          <w:lang w:val="es-ES"/>
        </w:rPr>
      </w:pPr>
      <w:r w:rsidRPr="009A3CEF">
        <w:rPr>
          <w:rFonts w:ascii="Arial" w:hAnsi="Arial" w:cs="Arial"/>
          <w:sz w:val="24"/>
          <w:szCs w:val="24"/>
          <w:lang w:val="es-ES"/>
        </w:rPr>
        <w:t xml:space="preserve">Mérida, </w:t>
      </w:r>
      <w:r w:rsidR="00E03934">
        <w:rPr>
          <w:rFonts w:ascii="Arial" w:hAnsi="Arial" w:cs="Arial"/>
          <w:sz w:val="24"/>
          <w:szCs w:val="24"/>
          <w:lang w:val="es-ES"/>
        </w:rPr>
        <w:t xml:space="preserve">Yucatán, </w:t>
      </w:r>
      <w:r w:rsidRPr="00EB7293">
        <w:rPr>
          <w:rFonts w:ascii="Arial" w:hAnsi="Arial" w:cs="Arial"/>
          <w:sz w:val="24"/>
          <w:szCs w:val="24"/>
          <w:lang w:val="es-ES"/>
        </w:rPr>
        <w:t xml:space="preserve">a </w:t>
      </w:r>
      <w:r w:rsidR="005928B7" w:rsidRPr="00EB7293">
        <w:rPr>
          <w:rFonts w:ascii="Arial" w:hAnsi="Arial" w:cs="Arial"/>
          <w:sz w:val="24"/>
          <w:szCs w:val="24"/>
          <w:lang w:val="es-ES"/>
        </w:rPr>
        <w:t>20</w:t>
      </w:r>
      <w:r w:rsidR="005010C0" w:rsidRPr="00EB7293">
        <w:rPr>
          <w:rFonts w:ascii="Arial" w:hAnsi="Arial" w:cs="Arial"/>
          <w:sz w:val="24"/>
          <w:szCs w:val="24"/>
          <w:lang w:val="es-ES"/>
        </w:rPr>
        <w:t xml:space="preserve"> </w:t>
      </w:r>
      <w:r w:rsidRPr="00EB7293">
        <w:rPr>
          <w:rFonts w:ascii="Arial" w:hAnsi="Arial" w:cs="Arial"/>
          <w:sz w:val="24"/>
          <w:szCs w:val="24"/>
          <w:lang w:val="es-ES"/>
        </w:rPr>
        <w:t xml:space="preserve">de </w:t>
      </w:r>
      <w:r w:rsidR="00E03934" w:rsidRPr="00EB7293">
        <w:rPr>
          <w:rFonts w:ascii="Arial" w:hAnsi="Arial" w:cs="Arial"/>
          <w:sz w:val="24"/>
          <w:szCs w:val="24"/>
          <w:lang w:val="es-ES"/>
        </w:rPr>
        <w:t>diciembre</w:t>
      </w:r>
      <w:r w:rsidR="00E03934">
        <w:rPr>
          <w:rFonts w:ascii="Arial" w:hAnsi="Arial" w:cs="Arial"/>
          <w:sz w:val="24"/>
          <w:szCs w:val="24"/>
          <w:lang w:val="es-ES"/>
        </w:rPr>
        <w:t xml:space="preserve"> de 2018</w:t>
      </w:r>
      <w:r w:rsidRPr="009A3CEF">
        <w:rPr>
          <w:rFonts w:ascii="Arial" w:hAnsi="Arial" w:cs="Arial"/>
          <w:sz w:val="24"/>
          <w:szCs w:val="24"/>
          <w:lang w:val="es-ES"/>
        </w:rPr>
        <w:t>.</w:t>
      </w:r>
    </w:p>
    <w:p w:rsidR="00EB6719" w:rsidRPr="009A3CEF" w:rsidRDefault="00EB6719" w:rsidP="00023348">
      <w:pPr>
        <w:tabs>
          <w:tab w:val="left" w:pos="7800"/>
        </w:tabs>
        <w:spacing w:before="100" w:beforeAutospacing="1" w:after="100" w:afterAutospacing="1" w:line="240" w:lineRule="auto"/>
        <w:rPr>
          <w:rFonts w:ascii="Arial" w:hAnsi="Arial" w:cs="Arial"/>
          <w:b/>
          <w:sz w:val="24"/>
          <w:szCs w:val="24"/>
        </w:rPr>
      </w:pPr>
      <w:r w:rsidRPr="009A3CEF">
        <w:rPr>
          <w:rFonts w:ascii="Arial" w:hAnsi="Arial" w:cs="Arial"/>
          <w:b/>
          <w:sz w:val="24"/>
          <w:szCs w:val="24"/>
        </w:rPr>
        <w:t>H. Congreso del Estado de Yucatán:</w:t>
      </w:r>
    </w:p>
    <w:p w:rsidR="005E7C8E" w:rsidRPr="009A3CEF" w:rsidRDefault="005E7C8E" w:rsidP="005E7C8E">
      <w:pPr>
        <w:autoSpaceDE w:val="0"/>
        <w:autoSpaceDN w:val="0"/>
        <w:adjustRightInd w:val="0"/>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Iniciativa para expedir la Ley de Ingresos para el Ejercicio Fiscal 201</w:t>
      </w:r>
      <w:r w:rsidR="00E03934">
        <w:rPr>
          <w:rFonts w:ascii="Arial" w:hAnsi="Arial" w:cs="Arial"/>
          <w:b/>
          <w:sz w:val="24"/>
          <w:szCs w:val="24"/>
        </w:rPr>
        <w:t>9</w:t>
      </w:r>
    </w:p>
    <w:p w:rsidR="0059344F" w:rsidRPr="009A3CEF" w:rsidRDefault="0059344F" w:rsidP="005E7C8E">
      <w:pPr>
        <w:autoSpaceDE w:val="0"/>
        <w:autoSpaceDN w:val="0"/>
        <w:adjustRightInd w:val="0"/>
        <w:spacing w:before="100" w:beforeAutospacing="1" w:after="100" w:afterAutospacing="1" w:line="240" w:lineRule="auto"/>
        <w:jc w:val="center"/>
        <w:rPr>
          <w:rFonts w:ascii="Arial" w:hAnsi="Arial" w:cs="Arial"/>
          <w:b/>
          <w:bCs/>
          <w:sz w:val="24"/>
          <w:szCs w:val="24"/>
        </w:rPr>
      </w:pPr>
      <w:r w:rsidRPr="009A3CEF">
        <w:rPr>
          <w:rFonts w:ascii="Arial" w:hAnsi="Arial" w:cs="Arial"/>
          <w:b/>
          <w:bCs/>
          <w:sz w:val="24"/>
          <w:szCs w:val="24"/>
        </w:rPr>
        <w:t>Exposición de motivos</w:t>
      </w:r>
    </w:p>
    <w:p w:rsidR="00E03934" w:rsidRPr="00E03934" w:rsidRDefault="001A1201" w:rsidP="00E03934">
      <w:pPr>
        <w:spacing w:before="100" w:beforeAutospacing="1" w:after="100" w:afterAutospacing="1" w:line="240" w:lineRule="auto"/>
        <w:jc w:val="both"/>
        <w:rPr>
          <w:rFonts w:ascii="Arial" w:hAnsi="Arial" w:cs="Arial"/>
          <w:sz w:val="24"/>
          <w:szCs w:val="24"/>
        </w:rPr>
      </w:pPr>
      <w:r w:rsidRPr="00E03934">
        <w:rPr>
          <w:rFonts w:ascii="Arial" w:hAnsi="Arial" w:cs="Arial"/>
          <w:sz w:val="24"/>
          <w:szCs w:val="24"/>
        </w:rPr>
        <w:t>La</w:t>
      </w:r>
      <w:r w:rsidR="00B77BB1" w:rsidRPr="00E03934">
        <w:rPr>
          <w:rFonts w:ascii="Arial" w:hAnsi="Arial" w:cs="Arial"/>
          <w:sz w:val="24"/>
          <w:szCs w:val="24"/>
        </w:rPr>
        <w:t xml:space="preserve"> iniciativa </w:t>
      </w:r>
      <w:r w:rsidR="0014484E" w:rsidRPr="00E03934">
        <w:rPr>
          <w:rFonts w:ascii="Arial" w:hAnsi="Arial" w:cs="Arial"/>
          <w:sz w:val="24"/>
          <w:szCs w:val="24"/>
        </w:rPr>
        <w:t>para expedir</w:t>
      </w:r>
      <w:r w:rsidR="00897671" w:rsidRPr="00E03934">
        <w:rPr>
          <w:rFonts w:ascii="Arial" w:hAnsi="Arial" w:cs="Arial"/>
          <w:sz w:val="24"/>
          <w:szCs w:val="24"/>
        </w:rPr>
        <w:t xml:space="preserve"> la</w:t>
      </w:r>
      <w:r w:rsidR="00B77BB1" w:rsidRPr="00E03934">
        <w:rPr>
          <w:rFonts w:ascii="Arial" w:hAnsi="Arial" w:cs="Arial"/>
          <w:sz w:val="24"/>
          <w:szCs w:val="24"/>
        </w:rPr>
        <w:t xml:space="preserve"> Ley de Ingresos del Estado de Yucat</w:t>
      </w:r>
      <w:r w:rsidR="00E03934" w:rsidRPr="00E03934">
        <w:rPr>
          <w:rFonts w:ascii="Arial" w:hAnsi="Arial" w:cs="Arial"/>
          <w:sz w:val="24"/>
          <w:szCs w:val="24"/>
        </w:rPr>
        <w:t>án tiene por obje</w:t>
      </w:r>
      <w:r w:rsidR="003A664A">
        <w:rPr>
          <w:rFonts w:ascii="Arial" w:hAnsi="Arial" w:cs="Arial"/>
          <w:sz w:val="24"/>
          <w:szCs w:val="24"/>
        </w:rPr>
        <w:t>to</w:t>
      </w:r>
      <w:r w:rsidR="00E03934" w:rsidRPr="00E03934">
        <w:rPr>
          <w:rFonts w:ascii="Arial" w:hAnsi="Arial" w:cs="Arial"/>
          <w:sz w:val="24"/>
          <w:szCs w:val="24"/>
        </w:rPr>
        <w:t xml:space="preserve"> </w:t>
      </w:r>
      <w:r w:rsidR="00E03934">
        <w:rPr>
          <w:rFonts w:ascii="Arial" w:hAnsi="Arial" w:cs="Arial"/>
          <w:sz w:val="24"/>
          <w:szCs w:val="24"/>
        </w:rPr>
        <w:t xml:space="preserve">establecer los recursos que el </w:t>
      </w:r>
      <w:r w:rsidR="009B7927">
        <w:rPr>
          <w:rFonts w:ascii="Arial" w:hAnsi="Arial" w:cs="Arial"/>
          <w:sz w:val="24"/>
          <w:szCs w:val="24"/>
        </w:rPr>
        <w:t>E</w:t>
      </w:r>
      <w:r w:rsidR="00E03934" w:rsidRPr="00E03934">
        <w:rPr>
          <w:rFonts w:ascii="Arial" w:hAnsi="Arial" w:cs="Arial"/>
          <w:sz w:val="24"/>
          <w:szCs w:val="24"/>
        </w:rPr>
        <w:t xml:space="preserve">stado, a través de los diferentes rubros tiene la expectativa de percibir para el ejercicio fiscal 2019. La determinación de los ingresos permitirá crear </w:t>
      </w:r>
      <w:r w:rsidR="00E03934">
        <w:rPr>
          <w:rFonts w:ascii="Arial" w:hAnsi="Arial" w:cs="Arial"/>
          <w:sz w:val="24"/>
          <w:szCs w:val="24"/>
        </w:rPr>
        <w:t xml:space="preserve">un balance presupuestario que </w:t>
      </w:r>
      <w:r w:rsidR="00B60971">
        <w:rPr>
          <w:rFonts w:ascii="Arial" w:hAnsi="Arial" w:cs="Arial"/>
          <w:sz w:val="24"/>
          <w:szCs w:val="24"/>
        </w:rPr>
        <w:t>respalde</w:t>
      </w:r>
      <w:r w:rsidR="00E03934" w:rsidRPr="00E03934">
        <w:rPr>
          <w:rFonts w:ascii="Arial" w:hAnsi="Arial" w:cs="Arial"/>
          <w:sz w:val="24"/>
          <w:szCs w:val="24"/>
        </w:rPr>
        <w:t xml:space="preserve"> las directrices, las líneas de acción y los proyectos estratégicos presentados </w:t>
      </w:r>
      <w:r w:rsidR="00B60971">
        <w:rPr>
          <w:rFonts w:ascii="Arial" w:hAnsi="Arial" w:cs="Arial"/>
          <w:sz w:val="24"/>
          <w:szCs w:val="24"/>
        </w:rPr>
        <w:t xml:space="preserve">por el titular del Poder Ejecutivo </w:t>
      </w:r>
      <w:r w:rsidR="00E03934" w:rsidRPr="00E03934">
        <w:rPr>
          <w:rFonts w:ascii="Arial" w:hAnsi="Arial" w:cs="Arial"/>
          <w:sz w:val="24"/>
          <w:szCs w:val="24"/>
        </w:rPr>
        <w:t>en el Presupuesto de Egresos del Gobierno del Estado de Yucatán para el Ejercicio Fiscal 2019.</w:t>
      </w:r>
    </w:p>
    <w:p w:rsidR="00E03934" w:rsidRPr="0095097A" w:rsidRDefault="0095097A" w:rsidP="0095097A">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este sentido, </w:t>
      </w:r>
      <w:r w:rsidR="004A0316">
        <w:rPr>
          <w:rFonts w:ascii="Arial" w:hAnsi="Arial" w:cs="Arial"/>
          <w:sz w:val="24"/>
          <w:szCs w:val="24"/>
        </w:rPr>
        <w:t>el proyecto de iniciativa que se somete a consideración</w:t>
      </w:r>
      <w:r w:rsidR="00B60971">
        <w:rPr>
          <w:rFonts w:ascii="Arial" w:hAnsi="Arial" w:cs="Arial"/>
          <w:sz w:val="24"/>
          <w:szCs w:val="24"/>
        </w:rPr>
        <w:t>,</w:t>
      </w:r>
      <w:r w:rsidR="004A0316">
        <w:rPr>
          <w:rFonts w:ascii="Arial" w:hAnsi="Arial" w:cs="Arial"/>
          <w:sz w:val="24"/>
          <w:szCs w:val="24"/>
        </w:rPr>
        <w:t xml:space="preserve"> constituye</w:t>
      </w:r>
      <w:r w:rsidR="00E03934" w:rsidRPr="0095097A">
        <w:rPr>
          <w:rFonts w:ascii="Arial" w:hAnsi="Arial" w:cs="Arial"/>
          <w:sz w:val="24"/>
          <w:szCs w:val="24"/>
        </w:rPr>
        <w:t xml:space="preserve"> el instrumento jurídico que</w:t>
      </w:r>
      <w:r w:rsidR="00C27286">
        <w:rPr>
          <w:rFonts w:ascii="Arial" w:hAnsi="Arial" w:cs="Arial"/>
          <w:sz w:val="24"/>
          <w:szCs w:val="24"/>
        </w:rPr>
        <w:t>,</w:t>
      </w:r>
      <w:r w:rsidR="00E03934" w:rsidRPr="0095097A">
        <w:rPr>
          <w:rFonts w:ascii="Arial" w:hAnsi="Arial" w:cs="Arial"/>
          <w:sz w:val="24"/>
          <w:szCs w:val="24"/>
        </w:rPr>
        <w:t xml:space="preserve"> en </w:t>
      </w:r>
      <w:r w:rsidR="009B7927">
        <w:rPr>
          <w:rFonts w:ascii="Arial" w:hAnsi="Arial" w:cs="Arial"/>
          <w:sz w:val="24"/>
          <w:szCs w:val="24"/>
        </w:rPr>
        <w:t>coordinación</w:t>
      </w:r>
      <w:r w:rsidR="00E03934" w:rsidRPr="0095097A">
        <w:rPr>
          <w:rFonts w:ascii="Arial" w:hAnsi="Arial" w:cs="Arial"/>
          <w:sz w:val="24"/>
          <w:szCs w:val="24"/>
        </w:rPr>
        <w:t xml:space="preserve"> con las leyes tributarias federales y locales e</w:t>
      </w:r>
      <w:r w:rsidR="00651330">
        <w:rPr>
          <w:rFonts w:ascii="Arial" w:hAnsi="Arial" w:cs="Arial"/>
          <w:sz w:val="24"/>
          <w:szCs w:val="24"/>
        </w:rPr>
        <w:t>stablece la forma en la que el E</w:t>
      </w:r>
      <w:r w:rsidR="00E03934" w:rsidRPr="0095097A">
        <w:rPr>
          <w:rFonts w:ascii="Arial" w:hAnsi="Arial" w:cs="Arial"/>
          <w:sz w:val="24"/>
          <w:szCs w:val="24"/>
        </w:rPr>
        <w:t>stado percibirá ingresos públicos durante el año 2019, para cumplir con sus funciones y garantizar el desarrollo económico y</w:t>
      </w:r>
      <w:r w:rsidR="00FC0E0C">
        <w:rPr>
          <w:rFonts w:ascii="Arial" w:hAnsi="Arial" w:cs="Arial"/>
          <w:sz w:val="24"/>
          <w:szCs w:val="24"/>
        </w:rPr>
        <w:t xml:space="preserve"> buen</w:t>
      </w:r>
      <w:r w:rsidR="00E03934" w:rsidRPr="0095097A">
        <w:rPr>
          <w:rFonts w:ascii="Arial" w:hAnsi="Arial" w:cs="Arial"/>
          <w:sz w:val="24"/>
          <w:szCs w:val="24"/>
        </w:rPr>
        <w:t xml:space="preserve"> funcionamiento </w:t>
      </w:r>
      <w:r>
        <w:rPr>
          <w:rFonts w:ascii="Arial" w:hAnsi="Arial" w:cs="Arial"/>
          <w:sz w:val="24"/>
          <w:szCs w:val="24"/>
        </w:rPr>
        <w:t>de este</w:t>
      </w:r>
      <w:r w:rsidR="00E03934" w:rsidRPr="0095097A">
        <w:rPr>
          <w:rFonts w:ascii="Arial" w:hAnsi="Arial" w:cs="Arial"/>
          <w:sz w:val="24"/>
          <w:szCs w:val="24"/>
        </w:rPr>
        <w:t>.</w:t>
      </w:r>
    </w:p>
    <w:p w:rsidR="00E03934" w:rsidRPr="0095097A" w:rsidRDefault="004A0316" w:rsidP="0095097A">
      <w:pPr>
        <w:spacing w:before="100" w:beforeAutospacing="1" w:after="100" w:afterAutospacing="1" w:line="240" w:lineRule="auto"/>
        <w:jc w:val="both"/>
        <w:rPr>
          <w:rFonts w:ascii="Arial" w:hAnsi="Arial" w:cs="Arial"/>
          <w:sz w:val="24"/>
          <w:szCs w:val="24"/>
        </w:rPr>
      </w:pPr>
      <w:r>
        <w:rPr>
          <w:rFonts w:ascii="Arial" w:hAnsi="Arial" w:cs="Arial"/>
          <w:sz w:val="24"/>
          <w:szCs w:val="24"/>
        </w:rPr>
        <w:t>El proyecto de iniciativa</w:t>
      </w:r>
      <w:r w:rsidR="00E03934" w:rsidRPr="0095097A">
        <w:rPr>
          <w:rFonts w:ascii="Arial" w:hAnsi="Arial" w:cs="Arial"/>
          <w:sz w:val="24"/>
          <w:szCs w:val="24"/>
        </w:rPr>
        <w:t xml:space="preserve"> está</w:t>
      </w:r>
      <w:r w:rsidR="00FC0E0C">
        <w:rPr>
          <w:rFonts w:ascii="Arial" w:hAnsi="Arial" w:cs="Arial"/>
          <w:sz w:val="24"/>
          <w:szCs w:val="24"/>
        </w:rPr>
        <w:t xml:space="preserve"> elaborado</w:t>
      </w:r>
      <w:r w:rsidR="00E03934" w:rsidRPr="0095097A">
        <w:rPr>
          <w:rFonts w:ascii="Arial" w:hAnsi="Arial" w:cs="Arial"/>
          <w:sz w:val="24"/>
          <w:szCs w:val="24"/>
        </w:rPr>
        <w:t xml:space="preserve"> con base en lo establecido en la </w:t>
      </w:r>
      <w:r w:rsidR="00E03934" w:rsidRPr="00521CB8">
        <w:rPr>
          <w:rFonts w:ascii="Arial" w:hAnsi="Arial" w:cs="Arial"/>
          <w:sz w:val="24"/>
          <w:szCs w:val="24"/>
        </w:rPr>
        <w:t xml:space="preserve">Ley General de Contabilidad Gubernamental, la Ley de Disciplina Financiera de las Entidades Federativas y los Municipios, </w:t>
      </w:r>
      <w:r w:rsidR="003A664A" w:rsidRPr="00521CB8">
        <w:rPr>
          <w:rFonts w:ascii="Arial" w:hAnsi="Arial" w:cs="Arial"/>
          <w:sz w:val="24"/>
          <w:szCs w:val="24"/>
        </w:rPr>
        <w:t xml:space="preserve">la Ley del Presupuesto y Contabilidad Gubernamental del Estado de Yucatán, </w:t>
      </w:r>
      <w:r w:rsidR="00E03934" w:rsidRPr="00521CB8">
        <w:rPr>
          <w:rFonts w:ascii="Arial" w:hAnsi="Arial" w:cs="Arial"/>
          <w:sz w:val="24"/>
          <w:szCs w:val="24"/>
        </w:rPr>
        <w:t>y la normativa emitida por el Consejo Nacional de Armonización Contable (en lo sucesivo C</w:t>
      </w:r>
      <w:r w:rsidR="00A15C1C" w:rsidRPr="00521CB8">
        <w:rPr>
          <w:rFonts w:ascii="Arial" w:hAnsi="Arial" w:cs="Arial"/>
          <w:sz w:val="24"/>
          <w:szCs w:val="24"/>
        </w:rPr>
        <w:t>ONAC</w:t>
      </w:r>
      <w:r w:rsidR="00E03934" w:rsidRPr="00521CB8">
        <w:rPr>
          <w:rFonts w:ascii="Arial" w:hAnsi="Arial" w:cs="Arial"/>
          <w:sz w:val="24"/>
          <w:szCs w:val="24"/>
        </w:rPr>
        <w:t>).</w:t>
      </w:r>
      <w:r w:rsidR="00E03934" w:rsidRPr="0095097A">
        <w:rPr>
          <w:rFonts w:ascii="Arial" w:hAnsi="Arial" w:cs="Arial"/>
          <w:sz w:val="24"/>
          <w:szCs w:val="24"/>
        </w:rPr>
        <w:t xml:space="preserve"> </w:t>
      </w:r>
    </w:p>
    <w:p w:rsidR="00E03934" w:rsidRPr="0095097A" w:rsidRDefault="00161278" w:rsidP="0095097A">
      <w:pPr>
        <w:spacing w:before="100" w:beforeAutospacing="1" w:after="100" w:afterAutospacing="1" w:line="240" w:lineRule="auto"/>
        <w:jc w:val="both"/>
        <w:rPr>
          <w:rFonts w:ascii="Arial" w:hAnsi="Arial" w:cs="Arial"/>
          <w:sz w:val="24"/>
          <w:szCs w:val="24"/>
        </w:rPr>
      </w:pPr>
      <w:r>
        <w:rPr>
          <w:rFonts w:ascii="Arial" w:hAnsi="Arial" w:cs="Arial"/>
          <w:sz w:val="24"/>
          <w:szCs w:val="24"/>
        </w:rPr>
        <w:t>Asimismo</w:t>
      </w:r>
      <w:r w:rsidR="00FC0E0C">
        <w:rPr>
          <w:rFonts w:ascii="Arial" w:hAnsi="Arial" w:cs="Arial"/>
          <w:sz w:val="24"/>
          <w:szCs w:val="24"/>
        </w:rPr>
        <w:t>,</w:t>
      </w:r>
      <w:r w:rsidR="00E03934" w:rsidRPr="0095097A">
        <w:rPr>
          <w:rFonts w:ascii="Arial" w:hAnsi="Arial" w:cs="Arial"/>
          <w:sz w:val="24"/>
          <w:szCs w:val="24"/>
        </w:rPr>
        <w:t xml:space="preserve"> para su elaboración, también se tomaron en consideración </w:t>
      </w:r>
      <w:r w:rsidR="00E03934" w:rsidRPr="00521CB8">
        <w:rPr>
          <w:rFonts w:ascii="Arial" w:hAnsi="Arial" w:cs="Arial"/>
          <w:sz w:val="24"/>
          <w:szCs w:val="24"/>
        </w:rPr>
        <w:t>los Criterios Generales de Política Económica para la Iniciativa de Ley de Ingresos y el Proyecto de Presupues</w:t>
      </w:r>
      <w:r w:rsidR="00521CB8" w:rsidRPr="00521CB8">
        <w:rPr>
          <w:rFonts w:ascii="Arial" w:hAnsi="Arial" w:cs="Arial"/>
          <w:sz w:val="24"/>
          <w:szCs w:val="24"/>
        </w:rPr>
        <w:t xml:space="preserve">to de Egresos de la Federación </w:t>
      </w:r>
      <w:r w:rsidR="00521CB8">
        <w:rPr>
          <w:rFonts w:ascii="Arial" w:hAnsi="Arial" w:cs="Arial"/>
          <w:sz w:val="24"/>
          <w:szCs w:val="24"/>
        </w:rPr>
        <w:t>c</w:t>
      </w:r>
      <w:r w:rsidR="00E03934" w:rsidRPr="00521CB8">
        <w:rPr>
          <w:rFonts w:ascii="Arial" w:hAnsi="Arial" w:cs="Arial"/>
          <w:sz w:val="24"/>
          <w:szCs w:val="24"/>
        </w:rPr>
        <w:t xml:space="preserve">orrespondientes </w:t>
      </w:r>
      <w:r w:rsidR="00521CB8">
        <w:rPr>
          <w:rFonts w:ascii="Arial" w:hAnsi="Arial" w:cs="Arial"/>
          <w:sz w:val="24"/>
          <w:szCs w:val="24"/>
        </w:rPr>
        <w:t>a</w:t>
      </w:r>
      <w:r w:rsidR="00E03934" w:rsidRPr="00521CB8">
        <w:rPr>
          <w:rFonts w:ascii="Arial" w:hAnsi="Arial" w:cs="Arial"/>
          <w:sz w:val="24"/>
          <w:szCs w:val="24"/>
        </w:rPr>
        <w:t>l Ejercicio Fiscal 2019,</w:t>
      </w:r>
      <w:r w:rsidR="00E03934" w:rsidRPr="0095097A">
        <w:rPr>
          <w:rFonts w:ascii="Arial" w:hAnsi="Arial" w:cs="Arial"/>
          <w:sz w:val="24"/>
          <w:szCs w:val="24"/>
        </w:rPr>
        <w:t xml:space="preserve"> </w:t>
      </w:r>
      <w:r w:rsidR="009B7927">
        <w:rPr>
          <w:rFonts w:ascii="Arial" w:hAnsi="Arial" w:cs="Arial"/>
          <w:sz w:val="24"/>
          <w:szCs w:val="24"/>
        </w:rPr>
        <w:t xml:space="preserve">así como </w:t>
      </w:r>
      <w:r w:rsidR="00E03934" w:rsidRPr="0095097A">
        <w:rPr>
          <w:rFonts w:ascii="Arial" w:hAnsi="Arial" w:cs="Arial"/>
          <w:sz w:val="24"/>
          <w:szCs w:val="24"/>
        </w:rPr>
        <w:t>las proyecciones y los riesgos relevantes para las finanzas públicas.</w:t>
      </w:r>
    </w:p>
    <w:p w:rsidR="00E03934" w:rsidRDefault="00E03934" w:rsidP="0095097A">
      <w:pPr>
        <w:spacing w:before="100" w:beforeAutospacing="1" w:after="100" w:afterAutospacing="1" w:line="240" w:lineRule="auto"/>
        <w:jc w:val="both"/>
        <w:rPr>
          <w:rFonts w:ascii="Arial" w:hAnsi="Arial" w:cs="Arial"/>
          <w:sz w:val="24"/>
          <w:szCs w:val="24"/>
        </w:rPr>
      </w:pPr>
      <w:r w:rsidRPr="0095097A">
        <w:rPr>
          <w:rFonts w:ascii="Arial" w:hAnsi="Arial" w:cs="Arial"/>
          <w:sz w:val="24"/>
          <w:szCs w:val="24"/>
        </w:rPr>
        <w:t>En este sentido los indicadores económicos considerados para realizar la Iniciativa de la Ley de Ingresos son los siguientes</w:t>
      </w:r>
      <w:r w:rsidR="00521CB8">
        <w:rPr>
          <w:rStyle w:val="Refdenotaalpie"/>
          <w:rFonts w:ascii="Arial" w:hAnsi="Arial" w:cs="Arial"/>
          <w:sz w:val="24"/>
          <w:szCs w:val="24"/>
        </w:rPr>
        <w:footnoteReference w:id="1"/>
      </w:r>
      <w:r w:rsidRPr="0095097A">
        <w:rPr>
          <w:rFonts w:ascii="Arial" w:hAnsi="Arial" w:cs="Arial"/>
          <w:sz w:val="24"/>
          <w:szCs w:val="24"/>
        </w:rPr>
        <w:t>:</w:t>
      </w:r>
    </w:p>
    <w:tbl>
      <w:tblPr>
        <w:tblStyle w:val="Tablaconcuadrcula1"/>
        <w:tblW w:w="0" w:type="auto"/>
        <w:tblInd w:w="1254" w:type="dxa"/>
        <w:tblLook w:val="04A0"/>
      </w:tblPr>
      <w:tblGrid>
        <w:gridCol w:w="4928"/>
        <w:gridCol w:w="1417"/>
      </w:tblGrid>
      <w:tr w:rsidR="005A4095" w:rsidRPr="005A4095" w:rsidTr="003A664A">
        <w:tc>
          <w:tcPr>
            <w:tcW w:w="4928" w:type="dxa"/>
            <w:shd w:val="clear" w:color="auto" w:fill="000000" w:themeFill="text1"/>
          </w:tcPr>
          <w:p w:rsidR="005A4095" w:rsidRPr="005A4095" w:rsidRDefault="005A4095" w:rsidP="005A4095">
            <w:pPr>
              <w:spacing w:line="240" w:lineRule="auto"/>
              <w:jc w:val="center"/>
              <w:rPr>
                <w:rFonts w:ascii="Arial" w:hAnsi="Arial" w:cs="Arial"/>
                <w:b/>
                <w:color w:val="FFFFFF"/>
              </w:rPr>
            </w:pPr>
            <w:r w:rsidRPr="005A4095">
              <w:rPr>
                <w:rFonts w:ascii="Arial" w:hAnsi="Arial" w:cs="Arial"/>
                <w:b/>
                <w:color w:val="FFFFFF"/>
              </w:rPr>
              <w:lastRenderedPageBreak/>
              <w:t>Indicador</w:t>
            </w:r>
          </w:p>
        </w:tc>
        <w:tc>
          <w:tcPr>
            <w:tcW w:w="1417" w:type="dxa"/>
            <w:shd w:val="clear" w:color="auto" w:fill="000000" w:themeFill="text1"/>
          </w:tcPr>
          <w:p w:rsidR="005A4095" w:rsidRPr="005A4095" w:rsidRDefault="00521CB8" w:rsidP="005A4095">
            <w:pPr>
              <w:spacing w:line="240" w:lineRule="auto"/>
              <w:jc w:val="center"/>
              <w:rPr>
                <w:rFonts w:ascii="Arial" w:hAnsi="Arial" w:cs="Arial"/>
                <w:b/>
                <w:color w:val="FFFFFF"/>
              </w:rPr>
            </w:pPr>
            <w:r>
              <w:rPr>
                <w:rFonts w:ascii="Arial" w:hAnsi="Arial" w:cs="Arial"/>
                <w:b/>
                <w:color w:val="FFFFFF"/>
              </w:rPr>
              <w:t>SHCP</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Crecimiento real del PIB (%)</w:t>
            </w:r>
          </w:p>
        </w:tc>
        <w:tc>
          <w:tcPr>
            <w:tcW w:w="1417" w:type="dxa"/>
          </w:tcPr>
          <w:p w:rsidR="005A4095" w:rsidRPr="005A4095" w:rsidRDefault="009B7927" w:rsidP="009B7927">
            <w:pPr>
              <w:spacing w:line="240" w:lineRule="auto"/>
              <w:jc w:val="center"/>
              <w:rPr>
                <w:rFonts w:ascii="Arial" w:hAnsi="Arial" w:cs="Arial"/>
              </w:rPr>
            </w:pPr>
            <w:r>
              <w:rPr>
                <w:rFonts w:ascii="Arial" w:hAnsi="Arial" w:cs="Arial"/>
              </w:rPr>
              <w:t>1</w:t>
            </w:r>
            <w:r w:rsidR="005A4095" w:rsidRPr="005A4095">
              <w:rPr>
                <w:rFonts w:ascii="Arial" w:hAnsi="Arial" w:cs="Arial"/>
              </w:rPr>
              <w:t>.5</w:t>
            </w:r>
            <w:r w:rsidR="003A664A">
              <w:rPr>
                <w:rFonts w:ascii="Arial" w:hAnsi="Arial" w:cs="Arial"/>
              </w:rPr>
              <w:t xml:space="preserve"> </w:t>
            </w:r>
            <w:r w:rsidR="005A4095" w:rsidRPr="005A4095">
              <w:rPr>
                <w:rFonts w:ascii="Arial" w:hAnsi="Arial" w:cs="Arial"/>
              </w:rPr>
              <w:t>-</w:t>
            </w:r>
            <w:r w:rsidR="003A664A">
              <w:rPr>
                <w:rFonts w:ascii="Arial" w:hAnsi="Arial" w:cs="Arial"/>
              </w:rPr>
              <w:t xml:space="preserve"> </w:t>
            </w:r>
            <w:r>
              <w:rPr>
                <w:rFonts w:ascii="Arial" w:hAnsi="Arial" w:cs="Arial"/>
              </w:rPr>
              <w:t>2</w:t>
            </w:r>
            <w:r w:rsidR="005A4095" w:rsidRPr="005A4095">
              <w:rPr>
                <w:rFonts w:ascii="Arial" w:hAnsi="Arial" w:cs="Arial"/>
              </w:rPr>
              <w:t>.5</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Inflación (%)</w:t>
            </w:r>
          </w:p>
        </w:tc>
        <w:tc>
          <w:tcPr>
            <w:tcW w:w="1417" w:type="dxa"/>
          </w:tcPr>
          <w:p w:rsidR="005A4095" w:rsidRPr="005A4095" w:rsidRDefault="005A4095" w:rsidP="009B7927">
            <w:pPr>
              <w:spacing w:line="240" w:lineRule="auto"/>
              <w:jc w:val="center"/>
              <w:rPr>
                <w:rFonts w:ascii="Arial" w:hAnsi="Arial" w:cs="Arial"/>
              </w:rPr>
            </w:pPr>
            <w:r w:rsidRPr="005A4095">
              <w:rPr>
                <w:rFonts w:ascii="Arial" w:hAnsi="Arial" w:cs="Arial"/>
              </w:rPr>
              <w:t>3.</w:t>
            </w:r>
            <w:r w:rsidR="009B7927">
              <w:rPr>
                <w:rFonts w:ascii="Arial" w:hAnsi="Arial" w:cs="Arial"/>
              </w:rPr>
              <w:t>4</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Balanza en cuenta corriente (% del PIB)</w:t>
            </w:r>
          </w:p>
        </w:tc>
        <w:tc>
          <w:tcPr>
            <w:tcW w:w="1417" w:type="dxa"/>
          </w:tcPr>
          <w:p w:rsidR="005A4095" w:rsidRPr="005A4095" w:rsidRDefault="005A4095" w:rsidP="005A4095">
            <w:pPr>
              <w:spacing w:line="240" w:lineRule="auto"/>
              <w:jc w:val="center"/>
              <w:rPr>
                <w:rFonts w:ascii="Arial" w:hAnsi="Arial" w:cs="Arial"/>
              </w:rPr>
            </w:pPr>
            <w:r w:rsidRPr="005A4095">
              <w:rPr>
                <w:rFonts w:ascii="Arial" w:hAnsi="Arial" w:cs="Arial"/>
              </w:rPr>
              <w:t>-</w:t>
            </w:r>
            <w:r w:rsidR="003A664A">
              <w:rPr>
                <w:rFonts w:ascii="Arial" w:hAnsi="Arial" w:cs="Arial"/>
              </w:rPr>
              <w:t xml:space="preserve"> </w:t>
            </w:r>
            <w:r w:rsidRPr="005A4095">
              <w:rPr>
                <w:rFonts w:ascii="Arial" w:hAnsi="Arial" w:cs="Arial"/>
              </w:rPr>
              <w:t>2.2</w:t>
            </w:r>
          </w:p>
        </w:tc>
      </w:tr>
      <w:tr w:rsidR="005A4095" w:rsidRPr="005A4095" w:rsidTr="00972FE4">
        <w:tc>
          <w:tcPr>
            <w:tcW w:w="4928" w:type="dxa"/>
          </w:tcPr>
          <w:p w:rsidR="005A4095" w:rsidRPr="005A4095" w:rsidRDefault="005A4095" w:rsidP="005A4095">
            <w:pPr>
              <w:spacing w:line="240" w:lineRule="auto"/>
              <w:jc w:val="both"/>
              <w:rPr>
                <w:rFonts w:ascii="Arial" w:hAnsi="Arial" w:cs="Arial"/>
              </w:rPr>
            </w:pPr>
            <w:r w:rsidRPr="005A4095">
              <w:rPr>
                <w:rFonts w:ascii="Arial" w:hAnsi="Arial" w:cs="Arial"/>
              </w:rPr>
              <w:t>Tipo de cambio</w:t>
            </w:r>
            <w:r w:rsidR="00521CB8">
              <w:rPr>
                <w:rFonts w:ascii="Arial" w:hAnsi="Arial" w:cs="Arial"/>
              </w:rPr>
              <w:t xml:space="preserve"> nominal</w:t>
            </w:r>
            <w:r w:rsidRPr="005A4095">
              <w:rPr>
                <w:rFonts w:ascii="Arial" w:hAnsi="Arial" w:cs="Arial"/>
              </w:rPr>
              <w:t xml:space="preserve"> (peso</w:t>
            </w:r>
            <w:r w:rsidR="00521CB8">
              <w:rPr>
                <w:rFonts w:ascii="Arial" w:hAnsi="Arial" w:cs="Arial"/>
              </w:rPr>
              <w:t>s</w:t>
            </w:r>
            <w:r w:rsidRPr="005A4095">
              <w:rPr>
                <w:rFonts w:ascii="Arial" w:hAnsi="Arial" w:cs="Arial"/>
              </w:rPr>
              <w:t xml:space="preserve"> por dólar)</w:t>
            </w:r>
          </w:p>
        </w:tc>
        <w:tc>
          <w:tcPr>
            <w:tcW w:w="1417" w:type="dxa"/>
          </w:tcPr>
          <w:p w:rsidR="005A4095" w:rsidRPr="005A4095" w:rsidRDefault="005A4095" w:rsidP="005A4095">
            <w:pPr>
              <w:spacing w:line="240" w:lineRule="auto"/>
              <w:jc w:val="center"/>
              <w:rPr>
                <w:rFonts w:ascii="Arial" w:hAnsi="Arial" w:cs="Arial"/>
              </w:rPr>
            </w:pPr>
            <w:r w:rsidRPr="005A4095">
              <w:rPr>
                <w:rFonts w:ascii="Arial" w:hAnsi="Arial" w:cs="Arial"/>
              </w:rPr>
              <w:t>20</w:t>
            </w:r>
            <w:r w:rsidR="00521CB8">
              <w:rPr>
                <w:rFonts w:ascii="Arial" w:hAnsi="Arial" w:cs="Arial"/>
              </w:rPr>
              <w:t>.0</w:t>
            </w:r>
          </w:p>
        </w:tc>
      </w:tr>
      <w:tr w:rsidR="005A4095" w:rsidRPr="005A4095" w:rsidTr="00972FE4">
        <w:tc>
          <w:tcPr>
            <w:tcW w:w="4928" w:type="dxa"/>
          </w:tcPr>
          <w:p w:rsidR="005A4095" w:rsidRPr="005A4095" w:rsidRDefault="005A4095" w:rsidP="003A664A">
            <w:pPr>
              <w:spacing w:line="240" w:lineRule="auto"/>
              <w:jc w:val="both"/>
              <w:rPr>
                <w:rFonts w:ascii="Arial" w:hAnsi="Arial" w:cs="Arial"/>
              </w:rPr>
            </w:pPr>
            <w:r w:rsidRPr="005A4095">
              <w:rPr>
                <w:rFonts w:ascii="Arial" w:hAnsi="Arial" w:cs="Arial"/>
              </w:rPr>
              <w:t xml:space="preserve">Precio del </w:t>
            </w:r>
            <w:r w:rsidR="003A664A">
              <w:rPr>
                <w:rFonts w:ascii="Arial" w:hAnsi="Arial" w:cs="Arial"/>
              </w:rPr>
              <w:t>p</w:t>
            </w:r>
            <w:r w:rsidRPr="005A4095">
              <w:rPr>
                <w:rFonts w:ascii="Arial" w:hAnsi="Arial" w:cs="Arial"/>
              </w:rPr>
              <w:t>etróleo</w:t>
            </w:r>
          </w:p>
        </w:tc>
        <w:tc>
          <w:tcPr>
            <w:tcW w:w="1417" w:type="dxa"/>
          </w:tcPr>
          <w:p w:rsidR="005A4095" w:rsidRPr="005A4095" w:rsidRDefault="005A4095" w:rsidP="005A4095">
            <w:pPr>
              <w:spacing w:line="240" w:lineRule="auto"/>
              <w:jc w:val="center"/>
              <w:rPr>
                <w:rFonts w:ascii="Arial" w:hAnsi="Arial" w:cs="Arial"/>
              </w:rPr>
            </w:pPr>
            <w:r w:rsidRPr="005A4095">
              <w:rPr>
                <w:rFonts w:ascii="Arial" w:hAnsi="Arial" w:cs="Arial"/>
              </w:rPr>
              <w:t>55 dpb</w:t>
            </w:r>
          </w:p>
        </w:tc>
      </w:tr>
    </w:tbl>
    <w:p w:rsidR="003A664A" w:rsidRPr="003A664A" w:rsidRDefault="003A664A" w:rsidP="003A664A">
      <w:pPr>
        <w:spacing w:before="100" w:beforeAutospacing="1" w:after="100" w:afterAutospacing="1" w:line="240" w:lineRule="auto"/>
        <w:jc w:val="both"/>
        <w:rPr>
          <w:rFonts w:ascii="Arial" w:hAnsi="Arial" w:cs="Arial"/>
          <w:sz w:val="24"/>
          <w:szCs w:val="24"/>
        </w:rPr>
      </w:pPr>
      <w:r w:rsidRPr="003A664A">
        <w:rPr>
          <w:rFonts w:ascii="Arial" w:hAnsi="Arial" w:cs="Arial"/>
          <w:sz w:val="24"/>
          <w:szCs w:val="24"/>
        </w:rPr>
        <w:t>Conforme a lo expuesto, se presenta el cálculo de la captación de ingresos con un enfoque moderado y la racionalización en el gasto público.</w:t>
      </w:r>
    </w:p>
    <w:p w:rsidR="003A664A" w:rsidRPr="003A664A" w:rsidRDefault="003A664A" w:rsidP="003A664A">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I. Contenido de la i</w:t>
      </w:r>
      <w:r w:rsidRPr="003A664A">
        <w:rPr>
          <w:rFonts w:ascii="Arial" w:hAnsi="Arial" w:cs="Arial"/>
          <w:b/>
          <w:sz w:val="24"/>
          <w:szCs w:val="24"/>
        </w:rPr>
        <w:t>n</w:t>
      </w:r>
      <w:r>
        <w:rPr>
          <w:rFonts w:ascii="Arial" w:hAnsi="Arial" w:cs="Arial"/>
          <w:b/>
          <w:sz w:val="24"/>
          <w:szCs w:val="24"/>
        </w:rPr>
        <w:t xml:space="preserve">iciativa de ley </w:t>
      </w:r>
    </w:p>
    <w:p w:rsidR="003A664A" w:rsidRDefault="003A664A" w:rsidP="003A664A">
      <w:pPr>
        <w:spacing w:before="100" w:beforeAutospacing="1" w:after="100" w:afterAutospacing="1" w:line="240" w:lineRule="auto"/>
        <w:jc w:val="both"/>
        <w:rPr>
          <w:rFonts w:ascii="Arial" w:hAnsi="Arial" w:cs="Arial"/>
          <w:sz w:val="24"/>
          <w:szCs w:val="24"/>
        </w:rPr>
      </w:pPr>
      <w:r w:rsidRPr="00161278">
        <w:rPr>
          <w:rFonts w:ascii="Arial" w:hAnsi="Arial" w:cs="Arial"/>
          <w:sz w:val="24"/>
          <w:szCs w:val="24"/>
        </w:rPr>
        <w:t xml:space="preserve">Esta iniciativa se conforma por veinticinco artículos distribuidos </w:t>
      </w:r>
      <w:r w:rsidR="00651330">
        <w:rPr>
          <w:rFonts w:ascii="Arial" w:hAnsi="Arial" w:cs="Arial"/>
          <w:sz w:val="24"/>
          <w:szCs w:val="24"/>
        </w:rPr>
        <w:t>en dos</w:t>
      </w:r>
      <w:r w:rsidR="00C97F66" w:rsidRPr="00161278">
        <w:rPr>
          <w:rFonts w:ascii="Arial" w:hAnsi="Arial" w:cs="Arial"/>
          <w:sz w:val="24"/>
          <w:szCs w:val="24"/>
        </w:rPr>
        <w:t xml:space="preserve"> capítulos,</w:t>
      </w:r>
      <w:r w:rsidR="00651330">
        <w:rPr>
          <w:rFonts w:ascii="Arial" w:hAnsi="Arial" w:cs="Arial"/>
          <w:sz w:val="24"/>
          <w:szCs w:val="24"/>
        </w:rPr>
        <w:t xml:space="preserve"> atendiendo</w:t>
      </w:r>
      <w:r w:rsidR="00C97F66" w:rsidRPr="00161278">
        <w:rPr>
          <w:rFonts w:ascii="Arial" w:hAnsi="Arial" w:cs="Arial"/>
          <w:sz w:val="24"/>
          <w:szCs w:val="24"/>
        </w:rPr>
        <w:t xml:space="preserve"> a la naturaleza jurídica de cada uno. El </w:t>
      </w:r>
      <w:r w:rsidRPr="00161278">
        <w:rPr>
          <w:rFonts w:ascii="Arial" w:hAnsi="Arial" w:cs="Arial"/>
          <w:sz w:val="24"/>
          <w:szCs w:val="24"/>
        </w:rPr>
        <w:t xml:space="preserve">capítulo I </w:t>
      </w:r>
      <w:r w:rsidR="00C97F66" w:rsidRPr="00161278">
        <w:rPr>
          <w:rFonts w:ascii="Arial" w:hAnsi="Arial" w:cs="Arial"/>
          <w:sz w:val="24"/>
          <w:szCs w:val="24"/>
        </w:rPr>
        <w:t xml:space="preserve">denominado </w:t>
      </w:r>
      <w:r w:rsidRPr="00EB7293">
        <w:rPr>
          <w:rFonts w:ascii="Arial" w:hAnsi="Arial" w:cs="Arial"/>
          <w:sz w:val="24"/>
          <w:szCs w:val="24"/>
        </w:rPr>
        <w:t>“Ingresos”</w:t>
      </w:r>
      <w:r w:rsidRPr="00161278">
        <w:rPr>
          <w:rFonts w:ascii="Arial" w:hAnsi="Arial" w:cs="Arial"/>
          <w:sz w:val="24"/>
          <w:szCs w:val="24"/>
        </w:rPr>
        <w:t xml:space="preserve"> </w:t>
      </w:r>
      <w:r w:rsidR="00C27286" w:rsidRPr="00161278">
        <w:rPr>
          <w:rFonts w:ascii="Arial" w:hAnsi="Arial" w:cs="Arial"/>
          <w:sz w:val="24"/>
          <w:szCs w:val="24"/>
        </w:rPr>
        <w:t xml:space="preserve">es el más relevante del documento y establece la estimación de los ingresos, que el Gobierno del </w:t>
      </w:r>
      <w:r w:rsidR="00651330">
        <w:rPr>
          <w:rFonts w:ascii="Arial" w:hAnsi="Arial" w:cs="Arial"/>
          <w:sz w:val="24"/>
          <w:szCs w:val="24"/>
        </w:rPr>
        <w:t>e</w:t>
      </w:r>
      <w:r w:rsidR="00C27286" w:rsidRPr="00161278">
        <w:rPr>
          <w:rFonts w:ascii="Arial" w:hAnsi="Arial" w:cs="Arial"/>
          <w:sz w:val="24"/>
          <w:szCs w:val="24"/>
        </w:rPr>
        <w:t xml:space="preserve">stado en todos sus ámbitos estima obtener para el ejercicio fiscal 2019. </w:t>
      </w:r>
      <w:r w:rsidR="00C27286" w:rsidRPr="008D0B39">
        <w:rPr>
          <w:rFonts w:ascii="Arial" w:hAnsi="Arial" w:cs="Arial"/>
          <w:sz w:val="24"/>
          <w:szCs w:val="24"/>
        </w:rPr>
        <w:t xml:space="preserve">El </w:t>
      </w:r>
      <w:r w:rsidRPr="008D0B39">
        <w:rPr>
          <w:rFonts w:ascii="Arial" w:hAnsi="Arial" w:cs="Arial"/>
          <w:sz w:val="24"/>
          <w:szCs w:val="24"/>
        </w:rPr>
        <w:t xml:space="preserve">capítulo II </w:t>
      </w:r>
      <w:r w:rsidR="00C97F66" w:rsidRPr="008D0B39">
        <w:rPr>
          <w:rFonts w:ascii="Arial" w:hAnsi="Arial" w:cs="Arial"/>
          <w:sz w:val="24"/>
          <w:szCs w:val="24"/>
        </w:rPr>
        <w:t xml:space="preserve">denominado “Facilidades a los contribuyentes”, señala las herramientas y los mecanismos encaminados a facilitar el correcto y responsable cumplimiento de las obligaciones tributarias. </w:t>
      </w:r>
      <w:r w:rsidRPr="008D0B39">
        <w:rPr>
          <w:rFonts w:ascii="Arial" w:hAnsi="Arial" w:cs="Arial"/>
          <w:sz w:val="24"/>
          <w:szCs w:val="24"/>
        </w:rPr>
        <w:t xml:space="preserve">De igual forma, </w:t>
      </w:r>
      <w:r w:rsidR="002D0DB2" w:rsidRPr="008D0B39">
        <w:rPr>
          <w:rFonts w:ascii="Arial" w:hAnsi="Arial" w:cs="Arial"/>
          <w:sz w:val="24"/>
          <w:szCs w:val="24"/>
        </w:rPr>
        <w:t xml:space="preserve">se incluyen </w:t>
      </w:r>
      <w:r w:rsidR="00651330">
        <w:rPr>
          <w:rFonts w:ascii="Arial" w:hAnsi="Arial" w:cs="Arial"/>
          <w:sz w:val="24"/>
          <w:szCs w:val="24"/>
        </w:rPr>
        <w:t>seis</w:t>
      </w:r>
      <w:r w:rsidRPr="008D0B39">
        <w:rPr>
          <w:rFonts w:ascii="Arial" w:hAnsi="Arial" w:cs="Arial"/>
          <w:sz w:val="24"/>
          <w:szCs w:val="24"/>
        </w:rPr>
        <w:t xml:space="preserve"> artículos transitori</w:t>
      </w:r>
      <w:r w:rsidR="002D0DB2" w:rsidRPr="008D0B39">
        <w:rPr>
          <w:rFonts w:ascii="Arial" w:hAnsi="Arial" w:cs="Arial"/>
          <w:sz w:val="24"/>
          <w:szCs w:val="24"/>
        </w:rPr>
        <w:t>os con disposiciones que permitirán</w:t>
      </w:r>
      <w:r w:rsidRPr="008D0B39">
        <w:rPr>
          <w:rFonts w:ascii="Arial" w:hAnsi="Arial" w:cs="Arial"/>
          <w:sz w:val="24"/>
          <w:szCs w:val="24"/>
        </w:rPr>
        <w:t xml:space="preserve"> una efectiva entrada en vigor y aplicación de la ley.</w:t>
      </w:r>
    </w:p>
    <w:p w:rsidR="00C97F66" w:rsidRPr="00C97F66" w:rsidRDefault="00FC0E0C" w:rsidP="00C97F66">
      <w:pPr>
        <w:spacing w:before="100" w:beforeAutospacing="1" w:after="100" w:afterAutospacing="1" w:line="240" w:lineRule="auto"/>
        <w:jc w:val="both"/>
        <w:rPr>
          <w:rFonts w:ascii="Arial" w:hAnsi="Arial" w:cs="Arial"/>
          <w:sz w:val="24"/>
          <w:szCs w:val="24"/>
        </w:rPr>
      </w:pPr>
      <w:r>
        <w:rPr>
          <w:rFonts w:ascii="Arial" w:hAnsi="Arial" w:cs="Arial"/>
          <w:sz w:val="24"/>
          <w:szCs w:val="24"/>
        </w:rPr>
        <w:t>En complemento de lo anterior,</w:t>
      </w:r>
      <w:r w:rsidR="00C97F66" w:rsidRPr="00C97F66">
        <w:rPr>
          <w:rFonts w:ascii="Arial" w:hAnsi="Arial" w:cs="Arial"/>
          <w:sz w:val="24"/>
          <w:szCs w:val="24"/>
        </w:rPr>
        <w:t xml:space="preserve"> </w:t>
      </w:r>
      <w:r>
        <w:rPr>
          <w:rFonts w:ascii="Arial" w:hAnsi="Arial" w:cs="Arial"/>
          <w:sz w:val="24"/>
          <w:szCs w:val="24"/>
        </w:rPr>
        <w:t xml:space="preserve">se </w:t>
      </w:r>
      <w:r w:rsidR="00C97F66" w:rsidRPr="00C97F66">
        <w:rPr>
          <w:rFonts w:ascii="Arial" w:hAnsi="Arial" w:cs="Arial"/>
          <w:sz w:val="24"/>
          <w:szCs w:val="24"/>
        </w:rPr>
        <w:t xml:space="preserve">actualiza la regulación de </w:t>
      </w:r>
      <w:r w:rsidR="002D0DB2">
        <w:rPr>
          <w:rFonts w:ascii="Arial" w:hAnsi="Arial" w:cs="Arial"/>
          <w:sz w:val="24"/>
          <w:szCs w:val="24"/>
        </w:rPr>
        <w:t xml:space="preserve">los </w:t>
      </w:r>
      <w:r w:rsidR="00C97F66" w:rsidRPr="00C97F66">
        <w:rPr>
          <w:rFonts w:ascii="Arial" w:hAnsi="Arial" w:cs="Arial"/>
          <w:sz w:val="24"/>
          <w:szCs w:val="24"/>
        </w:rPr>
        <w:t xml:space="preserve">aprovechamientos y productos, </w:t>
      </w:r>
      <w:r w:rsidR="002D0DB2">
        <w:rPr>
          <w:rFonts w:ascii="Arial" w:hAnsi="Arial" w:cs="Arial"/>
          <w:sz w:val="24"/>
          <w:szCs w:val="24"/>
        </w:rPr>
        <w:t xml:space="preserve">previendo </w:t>
      </w:r>
      <w:r w:rsidR="00651330">
        <w:rPr>
          <w:rFonts w:ascii="Arial" w:hAnsi="Arial" w:cs="Arial"/>
          <w:sz w:val="24"/>
          <w:szCs w:val="24"/>
        </w:rPr>
        <w:t>términos</w:t>
      </w:r>
      <w:r w:rsidR="00C97F66" w:rsidRPr="00C97F66">
        <w:rPr>
          <w:rFonts w:ascii="Arial" w:hAnsi="Arial" w:cs="Arial"/>
          <w:sz w:val="24"/>
          <w:szCs w:val="24"/>
        </w:rPr>
        <w:t xml:space="preserve"> para ambos ingresos, </w:t>
      </w:r>
      <w:r w:rsidR="00651330">
        <w:rPr>
          <w:rFonts w:ascii="Arial" w:hAnsi="Arial" w:cs="Arial"/>
          <w:sz w:val="24"/>
          <w:szCs w:val="24"/>
        </w:rPr>
        <w:t>así como</w:t>
      </w:r>
      <w:r w:rsidR="002D0DB2">
        <w:rPr>
          <w:rFonts w:ascii="Arial" w:hAnsi="Arial" w:cs="Arial"/>
          <w:sz w:val="24"/>
          <w:szCs w:val="24"/>
        </w:rPr>
        <w:t xml:space="preserve"> la</w:t>
      </w:r>
      <w:r w:rsidR="00C97F66" w:rsidRPr="00C97F66">
        <w:rPr>
          <w:rFonts w:ascii="Arial" w:hAnsi="Arial" w:cs="Arial"/>
          <w:sz w:val="24"/>
          <w:szCs w:val="24"/>
        </w:rPr>
        <w:t xml:space="preserve"> temporalidad de</w:t>
      </w:r>
      <w:r w:rsidR="002D0DB2">
        <w:rPr>
          <w:rFonts w:ascii="Arial" w:hAnsi="Arial" w:cs="Arial"/>
          <w:sz w:val="24"/>
          <w:szCs w:val="24"/>
        </w:rPr>
        <w:t xml:space="preserve"> estos</w:t>
      </w:r>
      <w:r w:rsidR="00C97F66" w:rsidRPr="00C97F66">
        <w:rPr>
          <w:rFonts w:ascii="Arial" w:hAnsi="Arial" w:cs="Arial"/>
          <w:sz w:val="24"/>
          <w:szCs w:val="24"/>
        </w:rPr>
        <w:t xml:space="preserve">. </w:t>
      </w:r>
    </w:p>
    <w:p w:rsidR="00C97F66" w:rsidRPr="00C97F66" w:rsidRDefault="00765628" w:rsidP="00C97F66">
      <w:pPr>
        <w:spacing w:before="100" w:beforeAutospacing="1" w:after="100" w:afterAutospacing="1" w:line="240" w:lineRule="auto"/>
        <w:jc w:val="both"/>
        <w:rPr>
          <w:rFonts w:ascii="Arial" w:hAnsi="Arial" w:cs="Arial"/>
          <w:sz w:val="24"/>
          <w:szCs w:val="24"/>
        </w:rPr>
      </w:pPr>
      <w:r>
        <w:rPr>
          <w:rFonts w:ascii="Arial" w:hAnsi="Arial" w:cs="Arial"/>
          <w:sz w:val="24"/>
          <w:szCs w:val="24"/>
        </w:rPr>
        <w:t>Asimismo,</w:t>
      </w:r>
      <w:r w:rsidR="00C97F66" w:rsidRPr="00C97F66">
        <w:rPr>
          <w:rFonts w:ascii="Arial" w:hAnsi="Arial" w:cs="Arial"/>
          <w:sz w:val="24"/>
          <w:szCs w:val="24"/>
        </w:rPr>
        <w:t xml:space="preserve"> </w:t>
      </w:r>
      <w:r w:rsidR="002D0DB2">
        <w:rPr>
          <w:rFonts w:ascii="Arial" w:hAnsi="Arial" w:cs="Arial"/>
          <w:sz w:val="24"/>
          <w:szCs w:val="24"/>
        </w:rPr>
        <w:t>se</w:t>
      </w:r>
      <w:r w:rsidR="00C97F66" w:rsidRPr="00C97F66">
        <w:rPr>
          <w:rFonts w:ascii="Arial" w:hAnsi="Arial" w:cs="Arial"/>
          <w:sz w:val="24"/>
          <w:szCs w:val="24"/>
        </w:rPr>
        <w:t xml:space="preserve"> prevé</w:t>
      </w:r>
      <w:r w:rsidR="002D0DB2">
        <w:rPr>
          <w:rFonts w:ascii="Arial" w:hAnsi="Arial" w:cs="Arial"/>
          <w:sz w:val="24"/>
          <w:szCs w:val="24"/>
        </w:rPr>
        <w:t>n</w:t>
      </w:r>
      <w:r w:rsidR="00C97F66" w:rsidRPr="00C97F66">
        <w:rPr>
          <w:rFonts w:ascii="Arial" w:hAnsi="Arial" w:cs="Arial"/>
          <w:sz w:val="24"/>
          <w:szCs w:val="24"/>
        </w:rPr>
        <w:t xml:space="preserve"> aspectos puntuales</w:t>
      </w:r>
      <w:r w:rsidR="002D0DB2">
        <w:rPr>
          <w:rFonts w:ascii="Arial" w:hAnsi="Arial" w:cs="Arial"/>
          <w:sz w:val="24"/>
          <w:szCs w:val="24"/>
        </w:rPr>
        <w:t xml:space="preserve"> para</w:t>
      </w:r>
      <w:r w:rsidR="00C97F66" w:rsidRPr="00C97F66">
        <w:rPr>
          <w:rFonts w:ascii="Arial" w:hAnsi="Arial" w:cs="Arial"/>
          <w:sz w:val="24"/>
          <w:szCs w:val="24"/>
        </w:rPr>
        <w:t xml:space="preserve"> la concentración de los ingresos</w:t>
      </w:r>
      <w:r w:rsidR="002D0DB2">
        <w:rPr>
          <w:rFonts w:ascii="Arial" w:hAnsi="Arial" w:cs="Arial"/>
          <w:sz w:val="24"/>
          <w:szCs w:val="24"/>
        </w:rPr>
        <w:t>,</w:t>
      </w:r>
      <w:r w:rsidR="00C97F66" w:rsidRPr="00C97F66">
        <w:rPr>
          <w:rFonts w:ascii="Arial" w:hAnsi="Arial" w:cs="Arial"/>
          <w:sz w:val="24"/>
          <w:szCs w:val="24"/>
        </w:rPr>
        <w:t xml:space="preserve"> atendiendo a las mejor</w:t>
      </w:r>
      <w:r w:rsidR="002D0DB2">
        <w:rPr>
          <w:rFonts w:ascii="Arial" w:hAnsi="Arial" w:cs="Arial"/>
          <w:sz w:val="24"/>
          <w:szCs w:val="24"/>
        </w:rPr>
        <w:t>e</w:t>
      </w:r>
      <w:r w:rsidR="00C97F66" w:rsidRPr="00C97F66">
        <w:rPr>
          <w:rFonts w:ascii="Arial" w:hAnsi="Arial" w:cs="Arial"/>
          <w:sz w:val="24"/>
          <w:szCs w:val="24"/>
        </w:rPr>
        <w:t>s prácticas, establec</w:t>
      </w:r>
      <w:r w:rsidR="00C740BE">
        <w:rPr>
          <w:rFonts w:ascii="Arial" w:hAnsi="Arial" w:cs="Arial"/>
          <w:sz w:val="24"/>
          <w:szCs w:val="24"/>
        </w:rPr>
        <w:t>iendo</w:t>
      </w:r>
      <w:r w:rsidR="00C97F66" w:rsidRPr="00C97F66">
        <w:rPr>
          <w:rFonts w:ascii="Arial" w:hAnsi="Arial" w:cs="Arial"/>
          <w:sz w:val="24"/>
          <w:szCs w:val="24"/>
        </w:rPr>
        <w:t xml:space="preserve"> la concentración de recursos que provengan de bienes del Gobierno del </w:t>
      </w:r>
      <w:r w:rsidR="00581BDF">
        <w:rPr>
          <w:rFonts w:ascii="Arial" w:hAnsi="Arial" w:cs="Arial"/>
          <w:sz w:val="24"/>
          <w:szCs w:val="24"/>
        </w:rPr>
        <w:t>e</w:t>
      </w:r>
      <w:r w:rsidR="00C97F66" w:rsidRPr="00C97F66">
        <w:rPr>
          <w:rFonts w:ascii="Arial" w:hAnsi="Arial" w:cs="Arial"/>
          <w:sz w:val="24"/>
          <w:szCs w:val="24"/>
        </w:rPr>
        <w:t>stado</w:t>
      </w:r>
      <w:r w:rsidR="00C740BE">
        <w:rPr>
          <w:rFonts w:ascii="Arial" w:hAnsi="Arial" w:cs="Arial"/>
          <w:sz w:val="24"/>
          <w:szCs w:val="24"/>
        </w:rPr>
        <w:t>, así como de</w:t>
      </w:r>
      <w:r w:rsidR="00C97F66" w:rsidRPr="00C97F66">
        <w:rPr>
          <w:rFonts w:ascii="Arial" w:hAnsi="Arial" w:cs="Arial"/>
          <w:sz w:val="24"/>
          <w:szCs w:val="24"/>
        </w:rPr>
        <w:t xml:space="preserve"> los recursos netos </w:t>
      </w:r>
      <w:r w:rsidR="00C740BE">
        <w:rPr>
          <w:rFonts w:ascii="Arial" w:hAnsi="Arial" w:cs="Arial"/>
          <w:sz w:val="24"/>
          <w:szCs w:val="24"/>
        </w:rPr>
        <w:t xml:space="preserve">obtenidos de la </w:t>
      </w:r>
      <w:r w:rsidR="00100304">
        <w:rPr>
          <w:rFonts w:ascii="Arial" w:hAnsi="Arial" w:cs="Arial"/>
          <w:sz w:val="24"/>
          <w:szCs w:val="24"/>
        </w:rPr>
        <w:t>desi</w:t>
      </w:r>
      <w:r w:rsidR="00EB7293">
        <w:rPr>
          <w:rFonts w:ascii="Arial" w:hAnsi="Arial" w:cs="Arial"/>
          <w:sz w:val="24"/>
          <w:szCs w:val="24"/>
        </w:rPr>
        <w:t>n</w:t>
      </w:r>
      <w:r w:rsidR="00100304">
        <w:rPr>
          <w:rFonts w:ascii="Arial" w:hAnsi="Arial" w:cs="Arial"/>
          <w:sz w:val="24"/>
          <w:szCs w:val="24"/>
        </w:rPr>
        <w:t>corporaci</w:t>
      </w:r>
      <w:r w:rsidR="00C740BE">
        <w:rPr>
          <w:rFonts w:ascii="Arial" w:hAnsi="Arial" w:cs="Arial"/>
          <w:sz w:val="24"/>
          <w:szCs w:val="24"/>
        </w:rPr>
        <w:t xml:space="preserve">ón </w:t>
      </w:r>
      <w:r w:rsidR="00C97F66" w:rsidRPr="00C97F66">
        <w:rPr>
          <w:rFonts w:ascii="Arial" w:hAnsi="Arial" w:cs="Arial"/>
          <w:sz w:val="24"/>
          <w:szCs w:val="24"/>
        </w:rPr>
        <w:t>de</w:t>
      </w:r>
      <w:r w:rsidR="00581BDF">
        <w:rPr>
          <w:rFonts w:ascii="Arial" w:hAnsi="Arial" w:cs="Arial"/>
          <w:sz w:val="24"/>
          <w:szCs w:val="24"/>
        </w:rPr>
        <w:t xml:space="preserve"> las</w:t>
      </w:r>
      <w:r w:rsidR="00C97F66" w:rsidRPr="00C97F66">
        <w:rPr>
          <w:rFonts w:ascii="Arial" w:hAnsi="Arial" w:cs="Arial"/>
          <w:sz w:val="24"/>
          <w:szCs w:val="24"/>
        </w:rPr>
        <w:t xml:space="preserve"> entidades paraestatales. </w:t>
      </w:r>
    </w:p>
    <w:p w:rsidR="00C97F66" w:rsidRPr="00C97F66" w:rsidRDefault="008E0E73" w:rsidP="00C97F66">
      <w:pPr>
        <w:spacing w:before="100" w:beforeAutospacing="1" w:after="100" w:afterAutospacing="1" w:line="240" w:lineRule="auto"/>
        <w:jc w:val="both"/>
        <w:rPr>
          <w:rFonts w:ascii="Arial" w:hAnsi="Arial" w:cs="Arial"/>
          <w:sz w:val="24"/>
          <w:szCs w:val="24"/>
        </w:rPr>
      </w:pPr>
      <w:r>
        <w:rPr>
          <w:rFonts w:ascii="Arial" w:hAnsi="Arial" w:cs="Arial"/>
          <w:sz w:val="24"/>
          <w:szCs w:val="24"/>
        </w:rPr>
        <w:t>Por otra parte,</w:t>
      </w:r>
      <w:r w:rsidR="00C97F66" w:rsidRPr="00C97F66">
        <w:rPr>
          <w:rFonts w:ascii="Arial" w:hAnsi="Arial" w:cs="Arial"/>
          <w:sz w:val="24"/>
          <w:szCs w:val="24"/>
        </w:rPr>
        <w:t xml:space="preserve"> se considera la posibilidad de</w:t>
      </w:r>
      <w:r w:rsidR="00581BDF">
        <w:rPr>
          <w:rFonts w:ascii="Arial" w:hAnsi="Arial" w:cs="Arial"/>
          <w:sz w:val="24"/>
          <w:szCs w:val="24"/>
        </w:rPr>
        <w:t xml:space="preserve"> tener</w:t>
      </w:r>
      <w:r w:rsidR="00C97F66" w:rsidRPr="00C97F66">
        <w:rPr>
          <w:rFonts w:ascii="Arial" w:hAnsi="Arial" w:cs="Arial"/>
          <w:sz w:val="24"/>
          <w:szCs w:val="24"/>
        </w:rPr>
        <w:t xml:space="preserve"> ingresos excedentes</w:t>
      </w:r>
      <w:r w:rsidR="00581BDF">
        <w:rPr>
          <w:rFonts w:ascii="Arial" w:hAnsi="Arial" w:cs="Arial"/>
          <w:sz w:val="24"/>
          <w:szCs w:val="24"/>
        </w:rPr>
        <w:t xml:space="preserve">; </w:t>
      </w:r>
      <w:r w:rsidR="00C97F66" w:rsidRPr="00C97F66">
        <w:rPr>
          <w:rFonts w:ascii="Arial" w:hAnsi="Arial" w:cs="Arial"/>
          <w:sz w:val="24"/>
          <w:szCs w:val="24"/>
        </w:rPr>
        <w:t xml:space="preserve">la aplicación de la </w:t>
      </w:r>
      <w:r w:rsidR="00581BDF">
        <w:rPr>
          <w:rFonts w:ascii="Arial" w:hAnsi="Arial" w:cs="Arial"/>
          <w:sz w:val="24"/>
          <w:szCs w:val="24"/>
        </w:rPr>
        <w:t>l</w:t>
      </w:r>
      <w:r w:rsidR="00C97F66" w:rsidRPr="00C97F66">
        <w:rPr>
          <w:rFonts w:ascii="Arial" w:hAnsi="Arial" w:cs="Arial"/>
          <w:sz w:val="24"/>
          <w:szCs w:val="24"/>
        </w:rPr>
        <w:t>ey para todos los ingreso</w:t>
      </w:r>
      <w:r w:rsidR="00581BDF">
        <w:rPr>
          <w:rFonts w:ascii="Arial" w:hAnsi="Arial" w:cs="Arial"/>
          <w:sz w:val="24"/>
          <w:szCs w:val="24"/>
        </w:rPr>
        <w:t>s de la Administración Pública e</w:t>
      </w:r>
      <w:r w:rsidR="00C97F66" w:rsidRPr="00C97F66">
        <w:rPr>
          <w:rFonts w:ascii="Arial" w:hAnsi="Arial" w:cs="Arial"/>
          <w:sz w:val="24"/>
          <w:szCs w:val="24"/>
        </w:rPr>
        <w:t>statal, incluyendo los que reciba el Instituto de Seguridad y Social de los Trabajadores del Estado de Yucatán y la derogación de exenciones y</w:t>
      </w:r>
      <w:r w:rsidR="00581BDF">
        <w:rPr>
          <w:rFonts w:ascii="Arial" w:hAnsi="Arial" w:cs="Arial"/>
          <w:sz w:val="24"/>
          <w:szCs w:val="24"/>
        </w:rPr>
        <w:t xml:space="preserve"> de los beneficios o</w:t>
      </w:r>
      <w:r w:rsidR="00C97F66" w:rsidRPr="00C97F66">
        <w:rPr>
          <w:rFonts w:ascii="Arial" w:hAnsi="Arial" w:cs="Arial"/>
          <w:sz w:val="24"/>
          <w:szCs w:val="24"/>
        </w:rPr>
        <w:t xml:space="preserve"> tratamiento</w:t>
      </w:r>
      <w:r w:rsidR="00581BDF">
        <w:rPr>
          <w:rFonts w:ascii="Arial" w:hAnsi="Arial" w:cs="Arial"/>
          <w:sz w:val="24"/>
          <w:szCs w:val="24"/>
        </w:rPr>
        <w:t>s</w:t>
      </w:r>
      <w:r w:rsidR="00C97F66" w:rsidRPr="00C97F66">
        <w:rPr>
          <w:rFonts w:ascii="Arial" w:hAnsi="Arial" w:cs="Arial"/>
          <w:sz w:val="24"/>
          <w:szCs w:val="24"/>
        </w:rPr>
        <w:t xml:space="preserve"> preferenciales en materia tributaria.</w:t>
      </w:r>
    </w:p>
    <w:p w:rsidR="008E0E73" w:rsidRPr="008E0E73" w:rsidRDefault="008E0E73" w:rsidP="008E0E73">
      <w:pPr>
        <w:pStyle w:val="Prrafodelista"/>
        <w:spacing w:before="100" w:beforeAutospacing="1" w:after="100" w:afterAutospacing="1" w:line="240" w:lineRule="auto"/>
        <w:ind w:left="0"/>
        <w:jc w:val="both"/>
        <w:rPr>
          <w:rFonts w:ascii="Arial" w:hAnsi="Arial" w:cs="Arial"/>
          <w:b/>
          <w:sz w:val="24"/>
          <w:szCs w:val="24"/>
        </w:rPr>
      </w:pPr>
      <w:r w:rsidRPr="008E0E73">
        <w:rPr>
          <w:rFonts w:ascii="Arial" w:hAnsi="Arial" w:cs="Arial"/>
          <w:b/>
          <w:sz w:val="24"/>
          <w:szCs w:val="24"/>
        </w:rPr>
        <w:t>II. Objetivo</w:t>
      </w:r>
      <w:r w:rsidR="00651330">
        <w:rPr>
          <w:rFonts w:ascii="Arial" w:hAnsi="Arial" w:cs="Arial"/>
          <w:b/>
          <w:sz w:val="24"/>
          <w:szCs w:val="24"/>
        </w:rPr>
        <w:t>s</w:t>
      </w:r>
      <w:r w:rsidRPr="008E0E73">
        <w:rPr>
          <w:rFonts w:ascii="Arial" w:hAnsi="Arial" w:cs="Arial"/>
          <w:b/>
          <w:sz w:val="24"/>
          <w:szCs w:val="24"/>
        </w:rPr>
        <w:t xml:space="preserve"> anuales, estrategias y metas</w:t>
      </w:r>
    </w:p>
    <w:p w:rsidR="008E0E73" w:rsidRPr="008E0E73" w:rsidRDefault="008E0E73" w:rsidP="008E0E73">
      <w:pPr>
        <w:spacing w:before="100" w:beforeAutospacing="1" w:after="100" w:afterAutospacing="1" w:line="240" w:lineRule="auto"/>
        <w:jc w:val="both"/>
        <w:rPr>
          <w:rFonts w:ascii="Arial" w:hAnsi="Arial" w:cs="Arial"/>
          <w:sz w:val="24"/>
          <w:szCs w:val="24"/>
        </w:rPr>
      </w:pPr>
      <w:r w:rsidRPr="008E0E73">
        <w:rPr>
          <w:rFonts w:ascii="Arial" w:hAnsi="Arial" w:cs="Arial"/>
          <w:sz w:val="24"/>
          <w:szCs w:val="24"/>
        </w:rPr>
        <w:t>En relación con los</w:t>
      </w:r>
      <w:r>
        <w:rPr>
          <w:rFonts w:ascii="Arial" w:hAnsi="Arial" w:cs="Arial"/>
          <w:sz w:val="24"/>
          <w:szCs w:val="24"/>
        </w:rPr>
        <w:t xml:space="preserve"> objetivos, estrategias y metas</w:t>
      </w:r>
      <w:r w:rsidR="00C740BE">
        <w:rPr>
          <w:rFonts w:ascii="Arial" w:hAnsi="Arial" w:cs="Arial"/>
          <w:sz w:val="24"/>
          <w:szCs w:val="24"/>
        </w:rPr>
        <w:t xml:space="preserve"> es importante señalar</w:t>
      </w:r>
      <w:r w:rsidRPr="008E0E73">
        <w:rPr>
          <w:rFonts w:ascii="Arial" w:hAnsi="Arial" w:cs="Arial"/>
          <w:sz w:val="24"/>
          <w:szCs w:val="24"/>
        </w:rPr>
        <w:t xml:space="preserve"> que </w:t>
      </w:r>
      <w:r>
        <w:rPr>
          <w:rFonts w:ascii="Arial" w:hAnsi="Arial" w:cs="Arial"/>
          <w:sz w:val="24"/>
          <w:szCs w:val="24"/>
        </w:rPr>
        <w:t>la</w:t>
      </w:r>
      <w:r w:rsidR="00897607">
        <w:rPr>
          <w:rFonts w:ascii="Arial" w:hAnsi="Arial" w:cs="Arial"/>
          <w:sz w:val="24"/>
          <w:szCs w:val="24"/>
        </w:rPr>
        <w:t xml:space="preserve"> iniciativa de</w:t>
      </w:r>
      <w:r>
        <w:rPr>
          <w:rFonts w:ascii="Arial" w:hAnsi="Arial" w:cs="Arial"/>
          <w:sz w:val="24"/>
          <w:szCs w:val="24"/>
        </w:rPr>
        <w:t xml:space="preserve"> </w:t>
      </w:r>
      <w:r w:rsidRPr="008E0E73">
        <w:rPr>
          <w:rFonts w:ascii="Arial" w:hAnsi="Arial" w:cs="Arial"/>
          <w:sz w:val="24"/>
          <w:szCs w:val="24"/>
        </w:rPr>
        <w:t>Ley de Ingresos</w:t>
      </w:r>
      <w:r>
        <w:rPr>
          <w:rFonts w:ascii="Arial" w:hAnsi="Arial" w:cs="Arial"/>
          <w:sz w:val="24"/>
          <w:szCs w:val="24"/>
        </w:rPr>
        <w:t xml:space="preserve"> que se presenta</w:t>
      </w:r>
      <w:r w:rsidR="00897607">
        <w:rPr>
          <w:rFonts w:ascii="Arial" w:hAnsi="Arial" w:cs="Arial"/>
          <w:sz w:val="24"/>
          <w:szCs w:val="24"/>
        </w:rPr>
        <w:t>,</w:t>
      </w:r>
      <w:r w:rsidRPr="008E0E73">
        <w:rPr>
          <w:rFonts w:ascii="Arial" w:hAnsi="Arial" w:cs="Arial"/>
          <w:sz w:val="24"/>
          <w:szCs w:val="24"/>
        </w:rPr>
        <w:t xml:space="preserve"> está proyectada considerando que </w:t>
      </w:r>
      <w:r w:rsidRPr="008E0E73">
        <w:rPr>
          <w:rFonts w:ascii="Arial" w:hAnsi="Arial" w:cs="Arial"/>
          <w:sz w:val="24"/>
          <w:szCs w:val="24"/>
        </w:rPr>
        <w:lastRenderedPageBreak/>
        <w:t>el ejercicio fiscal 2019 representa el primer año de una nueva administración</w:t>
      </w:r>
      <w:r w:rsidR="00C740BE">
        <w:rPr>
          <w:rFonts w:ascii="Arial" w:hAnsi="Arial" w:cs="Arial"/>
          <w:sz w:val="24"/>
          <w:szCs w:val="24"/>
        </w:rPr>
        <w:t>,</w:t>
      </w:r>
      <w:r w:rsidRPr="008E0E73">
        <w:rPr>
          <w:rFonts w:ascii="Arial" w:hAnsi="Arial" w:cs="Arial"/>
          <w:sz w:val="24"/>
          <w:szCs w:val="24"/>
        </w:rPr>
        <w:t xml:space="preserve"> por término e inicio</w:t>
      </w:r>
      <w:r>
        <w:rPr>
          <w:rFonts w:ascii="Arial" w:hAnsi="Arial" w:cs="Arial"/>
          <w:sz w:val="24"/>
          <w:szCs w:val="24"/>
        </w:rPr>
        <w:t xml:space="preserve"> de un ejercicio constitucional</w:t>
      </w:r>
      <w:r w:rsidRPr="008E0E73">
        <w:rPr>
          <w:rFonts w:ascii="Arial" w:hAnsi="Arial" w:cs="Arial"/>
          <w:sz w:val="24"/>
          <w:szCs w:val="24"/>
        </w:rPr>
        <w:t xml:space="preserve"> a nivel </w:t>
      </w:r>
      <w:r w:rsidR="00C740BE">
        <w:rPr>
          <w:rFonts w:ascii="Arial" w:hAnsi="Arial" w:cs="Arial"/>
          <w:sz w:val="24"/>
          <w:szCs w:val="24"/>
        </w:rPr>
        <w:t xml:space="preserve">local y </w:t>
      </w:r>
      <w:r w:rsidRPr="008E0E73">
        <w:rPr>
          <w:rFonts w:ascii="Arial" w:hAnsi="Arial" w:cs="Arial"/>
          <w:sz w:val="24"/>
          <w:szCs w:val="24"/>
        </w:rPr>
        <w:t>federal.</w:t>
      </w:r>
    </w:p>
    <w:p w:rsidR="008E0E73" w:rsidRPr="008E0E73" w:rsidRDefault="00906D58" w:rsidP="008E0E73">
      <w:pPr>
        <w:spacing w:before="100" w:beforeAutospacing="1" w:after="100" w:afterAutospacing="1" w:line="240" w:lineRule="auto"/>
        <w:jc w:val="both"/>
        <w:rPr>
          <w:rFonts w:ascii="Arial" w:hAnsi="Arial" w:cs="Arial"/>
          <w:sz w:val="24"/>
          <w:szCs w:val="24"/>
        </w:rPr>
      </w:pPr>
      <w:r>
        <w:rPr>
          <w:rFonts w:ascii="Arial" w:hAnsi="Arial" w:cs="Arial"/>
          <w:sz w:val="24"/>
          <w:szCs w:val="24"/>
        </w:rPr>
        <w:t>En ese sentido,</w:t>
      </w:r>
      <w:r w:rsidR="008E0E73" w:rsidRPr="008E0E73">
        <w:rPr>
          <w:rFonts w:ascii="Arial" w:hAnsi="Arial" w:cs="Arial"/>
          <w:sz w:val="24"/>
          <w:szCs w:val="24"/>
        </w:rPr>
        <w:t xml:space="preserve"> la presente </w:t>
      </w:r>
      <w:r w:rsidR="00897607">
        <w:rPr>
          <w:rFonts w:ascii="Arial" w:hAnsi="Arial" w:cs="Arial"/>
          <w:sz w:val="24"/>
          <w:szCs w:val="24"/>
        </w:rPr>
        <w:t>i</w:t>
      </w:r>
      <w:r w:rsidR="008E0E73" w:rsidRPr="008E0E73">
        <w:rPr>
          <w:rFonts w:ascii="Arial" w:hAnsi="Arial" w:cs="Arial"/>
          <w:sz w:val="24"/>
          <w:szCs w:val="24"/>
        </w:rPr>
        <w:t xml:space="preserve">niciativa </w:t>
      </w:r>
      <w:r>
        <w:rPr>
          <w:rFonts w:ascii="Arial" w:hAnsi="Arial" w:cs="Arial"/>
          <w:sz w:val="24"/>
          <w:szCs w:val="24"/>
        </w:rPr>
        <w:t>está</w:t>
      </w:r>
      <w:r w:rsidR="008E0E73" w:rsidRPr="008E0E73">
        <w:rPr>
          <w:rFonts w:ascii="Arial" w:hAnsi="Arial" w:cs="Arial"/>
          <w:sz w:val="24"/>
          <w:szCs w:val="24"/>
        </w:rPr>
        <w:t xml:space="preserve"> alineada a las directrices, líneas de acción y los proyectos estratégicos</w:t>
      </w:r>
      <w:r>
        <w:rPr>
          <w:rFonts w:ascii="Arial" w:hAnsi="Arial" w:cs="Arial"/>
          <w:sz w:val="24"/>
          <w:szCs w:val="24"/>
        </w:rPr>
        <w:t xml:space="preserve"> establecidos por el gobernador, en términos del artículo 34, fracción I, de la Ley del </w:t>
      </w:r>
      <w:r w:rsidR="008E0E73" w:rsidRPr="008E0E73">
        <w:rPr>
          <w:rFonts w:ascii="Arial" w:hAnsi="Arial" w:cs="Arial"/>
          <w:sz w:val="24"/>
          <w:szCs w:val="24"/>
        </w:rPr>
        <w:t xml:space="preserve">Presupuesto </w:t>
      </w:r>
      <w:r w:rsidR="00100304">
        <w:rPr>
          <w:rFonts w:ascii="Arial" w:hAnsi="Arial" w:cs="Arial"/>
          <w:sz w:val="24"/>
          <w:szCs w:val="24"/>
        </w:rPr>
        <w:t xml:space="preserve">y Contabilidad Gubernamental </w:t>
      </w:r>
      <w:r w:rsidR="008E0E73" w:rsidRPr="008E0E73">
        <w:rPr>
          <w:rFonts w:ascii="Arial" w:hAnsi="Arial" w:cs="Arial"/>
          <w:sz w:val="24"/>
          <w:szCs w:val="24"/>
        </w:rPr>
        <w:t>del Estado de Yucatán.</w:t>
      </w:r>
    </w:p>
    <w:p w:rsidR="00A44727" w:rsidRPr="00A44727" w:rsidRDefault="00A44727" w:rsidP="00A44727">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 xml:space="preserve">III. </w:t>
      </w:r>
      <w:r w:rsidRPr="00A44727">
        <w:rPr>
          <w:rFonts w:ascii="Arial" w:hAnsi="Arial" w:cs="Arial"/>
          <w:b/>
          <w:sz w:val="24"/>
          <w:szCs w:val="24"/>
        </w:rPr>
        <w:t xml:space="preserve">Proyección de las finanzas públicas </w:t>
      </w:r>
      <w:r>
        <w:rPr>
          <w:rFonts w:ascii="Arial" w:hAnsi="Arial" w:cs="Arial"/>
          <w:b/>
          <w:sz w:val="24"/>
          <w:szCs w:val="24"/>
        </w:rPr>
        <w:t>por un período de cinco años</w:t>
      </w:r>
    </w:p>
    <w:p w:rsidR="00A44727" w:rsidRPr="00A44727" w:rsidRDefault="00A44727" w:rsidP="00A44727">
      <w:pPr>
        <w:spacing w:before="100" w:beforeAutospacing="1" w:after="100" w:afterAutospacing="1" w:line="240" w:lineRule="auto"/>
        <w:jc w:val="both"/>
        <w:rPr>
          <w:rFonts w:ascii="Arial" w:hAnsi="Arial" w:cs="Arial"/>
          <w:sz w:val="24"/>
          <w:szCs w:val="24"/>
        </w:rPr>
      </w:pPr>
      <w:r w:rsidRPr="00A44727">
        <w:rPr>
          <w:rFonts w:ascii="Arial" w:hAnsi="Arial" w:cs="Arial"/>
          <w:sz w:val="24"/>
          <w:szCs w:val="24"/>
        </w:rPr>
        <w:t xml:space="preserve">En cuanto a la proyección de las finanzas públicas se puede observar un crecimiento sostenido y moderado para los próximos cinco años. En relación con los Criterios Generales </w:t>
      </w:r>
      <w:r>
        <w:rPr>
          <w:rFonts w:ascii="Arial" w:hAnsi="Arial" w:cs="Arial"/>
          <w:sz w:val="24"/>
          <w:szCs w:val="24"/>
        </w:rPr>
        <w:t>de Política Económica para 2019</w:t>
      </w:r>
      <w:r w:rsidR="00906D58">
        <w:rPr>
          <w:rFonts w:ascii="Arial" w:hAnsi="Arial" w:cs="Arial"/>
          <w:sz w:val="24"/>
          <w:szCs w:val="24"/>
        </w:rPr>
        <w:t>,</w:t>
      </w:r>
      <w:r w:rsidRPr="00A44727">
        <w:rPr>
          <w:rFonts w:ascii="Arial" w:hAnsi="Arial" w:cs="Arial"/>
          <w:sz w:val="24"/>
          <w:szCs w:val="24"/>
        </w:rPr>
        <w:t xml:space="preserve"> se presenta una consistencia en la trayectoria de la consolidación fiscal, a través del constante incremento de los ingresos tributarios por la mayor actividad económica. </w:t>
      </w:r>
    </w:p>
    <w:p w:rsidR="00A44727" w:rsidRDefault="00A44727" w:rsidP="00A44727">
      <w:pPr>
        <w:spacing w:before="100" w:beforeAutospacing="1" w:after="100" w:afterAutospacing="1" w:line="240" w:lineRule="auto"/>
        <w:jc w:val="both"/>
        <w:rPr>
          <w:rFonts w:ascii="Arial" w:hAnsi="Arial" w:cs="Arial"/>
          <w:sz w:val="24"/>
          <w:szCs w:val="24"/>
        </w:rPr>
      </w:pPr>
      <w:r w:rsidRPr="00A44727">
        <w:rPr>
          <w:rFonts w:ascii="Arial" w:hAnsi="Arial" w:cs="Arial"/>
          <w:sz w:val="24"/>
          <w:szCs w:val="24"/>
        </w:rPr>
        <w:t>También se considera el aumento del gasto neto total pagado para 2019 y los impactos de las principales variables macroeconómicas en las finanzas públicas.</w:t>
      </w:r>
    </w:p>
    <w:p w:rsidR="006517E1" w:rsidRPr="006517E1" w:rsidRDefault="006517E1" w:rsidP="006517E1">
      <w:pPr>
        <w:spacing w:before="100" w:beforeAutospacing="1" w:after="100" w:afterAutospacing="1" w:line="240" w:lineRule="auto"/>
        <w:jc w:val="both"/>
        <w:rPr>
          <w:rFonts w:ascii="Arial" w:hAnsi="Arial" w:cs="Arial"/>
          <w:sz w:val="24"/>
          <w:szCs w:val="24"/>
        </w:rPr>
      </w:pPr>
      <w:r w:rsidRPr="006517E1">
        <w:rPr>
          <w:rFonts w:ascii="Arial" w:hAnsi="Arial" w:cs="Arial"/>
          <w:sz w:val="24"/>
          <w:szCs w:val="24"/>
        </w:rPr>
        <w:t xml:space="preserve">A fin de cumplir con lo establecido en el artículo 5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w:t>
      </w:r>
      <w:r w:rsidR="00100304">
        <w:rPr>
          <w:rFonts w:ascii="Arial" w:hAnsi="Arial" w:cs="Arial"/>
          <w:sz w:val="24"/>
          <w:szCs w:val="24"/>
        </w:rPr>
        <w:t>incluyen</w:t>
      </w:r>
      <w:r w:rsidRPr="006517E1">
        <w:rPr>
          <w:rFonts w:ascii="Arial" w:hAnsi="Arial" w:cs="Arial"/>
          <w:sz w:val="24"/>
          <w:szCs w:val="24"/>
        </w:rPr>
        <w:t xml:space="preserve"> las proyecci</w:t>
      </w:r>
      <w:r>
        <w:rPr>
          <w:rFonts w:ascii="Arial" w:hAnsi="Arial" w:cs="Arial"/>
          <w:sz w:val="24"/>
          <w:szCs w:val="24"/>
        </w:rPr>
        <w:t>ones de ingresos a cinco años (a</w:t>
      </w:r>
      <w:r w:rsidRPr="006517E1">
        <w:rPr>
          <w:rFonts w:ascii="Arial" w:hAnsi="Arial" w:cs="Arial"/>
          <w:sz w:val="24"/>
          <w:szCs w:val="24"/>
        </w:rPr>
        <w:t>nexo I).</w:t>
      </w:r>
    </w:p>
    <w:p w:rsidR="00A44727" w:rsidRPr="00A44727" w:rsidRDefault="00A44727" w:rsidP="00A44727">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 xml:space="preserve">IV. </w:t>
      </w:r>
      <w:r w:rsidRPr="00A44727">
        <w:rPr>
          <w:rFonts w:ascii="Arial" w:hAnsi="Arial" w:cs="Arial"/>
          <w:b/>
          <w:sz w:val="24"/>
          <w:szCs w:val="24"/>
        </w:rPr>
        <w:t>Riesgos relevantes para las finanzas públicas</w:t>
      </w:r>
    </w:p>
    <w:p w:rsidR="00A44727" w:rsidRPr="00A44727" w:rsidRDefault="00A44727" w:rsidP="00A44727">
      <w:pPr>
        <w:spacing w:before="100" w:beforeAutospacing="1" w:after="100" w:afterAutospacing="1" w:line="240" w:lineRule="auto"/>
        <w:jc w:val="both"/>
        <w:rPr>
          <w:rFonts w:ascii="Arial" w:hAnsi="Arial" w:cs="Arial"/>
          <w:sz w:val="24"/>
          <w:szCs w:val="24"/>
        </w:rPr>
      </w:pPr>
      <w:r w:rsidRPr="00A44727">
        <w:rPr>
          <w:rFonts w:ascii="Arial" w:hAnsi="Arial" w:cs="Arial"/>
          <w:sz w:val="24"/>
          <w:szCs w:val="24"/>
        </w:rPr>
        <w:t xml:space="preserve">De conformidad con el análisis descrito en los Criterios Generales de Política Económica para la Iniciativa de Ley de Ingresos y el Proyecto de Presupuesto de Egresos de la Federación </w:t>
      </w:r>
      <w:r w:rsidR="006517E1">
        <w:rPr>
          <w:rFonts w:ascii="Arial" w:hAnsi="Arial" w:cs="Arial"/>
          <w:sz w:val="24"/>
          <w:szCs w:val="24"/>
        </w:rPr>
        <w:t>para el</w:t>
      </w:r>
      <w:r w:rsidRPr="00A44727">
        <w:rPr>
          <w:rFonts w:ascii="Arial" w:hAnsi="Arial" w:cs="Arial"/>
          <w:sz w:val="24"/>
          <w:szCs w:val="24"/>
        </w:rPr>
        <w:t xml:space="preserve"> Ejercicio Fiscal 2019, el escenario macroeconómico de mediano plazo establecido en dicho documento</w:t>
      </w:r>
      <w:r w:rsidR="00100304">
        <w:rPr>
          <w:rFonts w:ascii="Arial" w:hAnsi="Arial" w:cs="Arial"/>
          <w:sz w:val="24"/>
          <w:szCs w:val="24"/>
        </w:rPr>
        <w:t xml:space="preserve"> </w:t>
      </w:r>
      <w:r w:rsidRPr="00A44727">
        <w:rPr>
          <w:rFonts w:ascii="Arial" w:hAnsi="Arial" w:cs="Arial"/>
          <w:sz w:val="24"/>
          <w:szCs w:val="24"/>
        </w:rPr>
        <w:t>está sujeto a riesgos que podrían modificar las trayectorias anticipadas e</w:t>
      </w:r>
      <w:r w:rsidR="006517E1">
        <w:rPr>
          <w:rFonts w:ascii="Arial" w:hAnsi="Arial" w:cs="Arial"/>
          <w:sz w:val="24"/>
          <w:szCs w:val="24"/>
        </w:rPr>
        <w:t>n</w:t>
      </w:r>
      <w:r w:rsidRPr="00A44727">
        <w:rPr>
          <w:rFonts w:ascii="Arial" w:hAnsi="Arial" w:cs="Arial"/>
          <w:sz w:val="24"/>
          <w:szCs w:val="24"/>
        </w:rPr>
        <w:t xml:space="preserve"> la evolución de la economía, de las finanzas públicas federales y </w:t>
      </w:r>
      <w:r w:rsidR="006517E1">
        <w:rPr>
          <w:rFonts w:ascii="Arial" w:hAnsi="Arial" w:cs="Arial"/>
          <w:sz w:val="24"/>
          <w:szCs w:val="24"/>
        </w:rPr>
        <w:t>en consecuencia</w:t>
      </w:r>
      <w:r w:rsidRPr="00A44727">
        <w:rPr>
          <w:rFonts w:ascii="Arial" w:hAnsi="Arial" w:cs="Arial"/>
          <w:sz w:val="24"/>
          <w:szCs w:val="24"/>
        </w:rPr>
        <w:t xml:space="preserve"> de las estatales.</w:t>
      </w:r>
    </w:p>
    <w:p w:rsidR="00A44727" w:rsidRPr="00A44727" w:rsidRDefault="00A44727" w:rsidP="00A44727">
      <w:pPr>
        <w:pStyle w:val="Prrafodelista"/>
        <w:spacing w:before="100" w:beforeAutospacing="1" w:after="100" w:afterAutospacing="1" w:line="240" w:lineRule="auto"/>
        <w:ind w:left="0"/>
        <w:jc w:val="both"/>
        <w:rPr>
          <w:rFonts w:ascii="Arial" w:hAnsi="Arial" w:cs="Arial"/>
          <w:i/>
          <w:sz w:val="24"/>
          <w:szCs w:val="24"/>
        </w:rPr>
      </w:pPr>
      <w:r w:rsidRPr="00A44727">
        <w:rPr>
          <w:rFonts w:ascii="Arial" w:hAnsi="Arial" w:cs="Arial"/>
          <w:i/>
          <w:sz w:val="24"/>
          <w:szCs w:val="24"/>
        </w:rPr>
        <w:t>Riesgos fiscales</w:t>
      </w:r>
    </w:p>
    <w:p w:rsidR="00A44727" w:rsidRPr="00A44727" w:rsidRDefault="00A44727" w:rsidP="00A44727">
      <w:pPr>
        <w:pStyle w:val="Prrafodelista"/>
        <w:spacing w:before="100" w:beforeAutospacing="1" w:after="100" w:afterAutospacing="1" w:line="240" w:lineRule="auto"/>
        <w:ind w:left="0"/>
        <w:jc w:val="both"/>
        <w:rPr>
          <w:rFonts w:ascii="Arial" w:hAnsi="Arial" w:cs="Arial"/>
          <w:b/>
          <w:sz w:val="24"/>
          <w:szCs w:val="24"/>
        </w:rPr>
      </w:pPr>
    </w:p>
    <w:p w:rsidR="00A44727" w:rsidRPr="00A44727" w:rsidRDefault="00A44727" w:rsidP="00A44727">
      <w:pPr>
        <w:pStyle w:val="Prrafodelista"/>
        <w:spacing w:before="100" w:beforeAutospacing="1" w:after="100" w:afterAutospacing="1" w:line="240" w:lineRule="auto"/>
        <w:ind w:left="0"/>
        <w:jc w:val="both"/>
        <w:rPr>
          <w:rFonts w:ascii="Arial" w:eastAsiaTheme="minorHAnsi" w:hAnsi="Arial" w:cs="Arial"/>
          <w:sz w:val="24"/>
          <w:szCs w:val="24"/>
        </w:rPr>
      </w:pPr>
      <w:r w:rsidRPr="00A44727">
        <w:rPr>
          <w:rFonts w:ascii="Arial" w:eastAsiaTheme="minorHAnsi" w:hAnsi="Arial" w:cs="Arial"/>
          <w:sz w:val="24"/>
          <w:szCs w:val="24"/>
        </w:rPr>
        <w:t xml:space="preserve">El entorno macroeconómico previsto para 2019 se encuentra sujeto a riesgos que podrían modificar las estimaciones que sirvieron de base para la elaboración de la </w:t>
      </w:r>
      <w:r w:rsidRPr="00A44727">
        <w:rPr>
          <w:rFonts w:ascii="Arial" w:eastAsiaTheme="minorHAnsi" w:hAnsi="Arial" w:cs="Arial"/>
          <w:sz w:val="24"/>
          <w:szCs w:val="24"/>
        </w:rPr>
        <w:lastRenderedPageBreak/>
        <w:t>Ley de Ingreso</w:t>
      </w:r>
      <w:r>
        <w:rPr>
          <w:rFonts w:ascii="Arial" w:eastAsiaTheme="minorHAnsi" w:hAnsi="Arial" w:cs="Arial"/>
          <w:sz w:val="24"/>
          <w:szCs w:val="24"/>
        </w:rPr>
        <w:t>s y del Presupuesto de Egresos f</w:t>
      </w:r>
      <w:r w:rsidRPr="00A44727">
        <w:rPr>
          <w:rFonts w:ascii="Arial" w:eastAsiaTheme="minorHAnsi" w:hAnsi="Arial" w:cs="Arial"/>
          <w:sz w:val="24"/>
          <w:szCs w:val="24"/>
        </w:rPr>
        <w:t>ederal. Al respecto destacan los siguientes:</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a) </w:t>
      </w:r>
      <w:r w:rsidR="00A44727" w:rsidRPr="00A44727">
        <w:rPr>
          <w:rFonts w:ascii="Arial" w:eastAsiaTheme="minorHAnsi" w:hAnsi="Arial" w:cs="Arial"/>
          <w:sz w:val="24"/>
          <w:szCs w:val="24"/>
          <w:lang w:val="es-MX" w:eastAsia="en-US"/>
        </w:rPr>
        <w:t>Un menor dinamismo d</w:t>
      </w:r>
      <w:r>
        <w:rPr>
          <w:rFonts w:ascii="Arial" w:eastAsiaTheme="minorHAnsi" w:hAnsi="Arial" w:cs="Arial"/>
          <w:sz w:val="24"/>
          <w:szCs w:val="24"/>
          <w:lang w:val="es-MX" w:eastAsia="en-US"/>
        </w:rPr>
        <w:t>e la economía de Estados Unidos.</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b) </w:t>
      </w:r>
      <w:r w:rsidR="00A44727" w:rsidRPr="00A44727">
        <w:rPr>
          <w:rFonts w:ascii="Arial" w:eastAsiaTheme="minorHAnsi" w:hAnsi="Arial" w:cs="Arial"/>
          <w:sz w:val="24"/>
          <w:szCs w:val="24"/>
          <w:lang w:val="es-MX" w:eastAsia="en-US"/>
        </w:rPr>
        <w:t>Un debilitamiento de la economía mundial</w:t>
      </w:r>
      <w:r>
        <w:rPr>
          <w:rFonts w:ascii="Arial" w:eastAsiaTheme="minorHAnsi" w:hAnsi="Arial" w:cs="Arial"/>
          <w:sz w:val="24"/>
          <w:szCs w:val="24"/>
          <w:lang w:val="es-MX" w:eastAsia="en-US"/>
        </w:rPr>
        <w:t>.</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c) </w:t>
      </w:r>
      <w:r w:rsidR="00A44727" w:rsidRPr="00A44727">
        <w:rPr>
          <w:rFonts w:ascii="Arial" w:eastAsiaTheme="minorHAnsi" w:hAnsi="Arial" w:cs="Arial"/>
          <w:sz w:val="24"/>
          <w:szCs w:val="24"/>
          <w:lang w:val="es-MX" w:eastAsia="en-US"/>
        </w:rPr>
        <w:t>Una elevada volatilidad en los mercados financieros internacionales</w:t>
      </w:r>
      <w:r>
        <w:rPr>
          <w:rFonts w:ascii="Arial" w:eastAsiaTheme="minorHAnsi" w:hAnsi="Arial" w:cs="Arial"/>
          <w:sz w:val="24"/>
          <w:szCs w:val="24"/>
          <w:lang w:val="es-MX" w:eastAsia="en-US"/>
        </w:rPr>
        <w:t>.</w:t>
      </w:r>
    </w:p>
    <w:p w:rsidR="00513B5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d) </w:t>
      </w:r>
      <w:r w:rsidR="00A44727" w:rsidRPr="00A44727">
        <w:rPr>
          <w:rFonts w:ascii="Arial" w:eastAsiaTheme="minorHAnsi" w:hAnsi="Arial" w:cs="Arial"/>
          <w:sz w:val="24"/>
          <w:szCs w:val="24"/>
          <w:lang w:val="es-MX" w:eastAsia="en-US"/>
        </w:rPr>
        <w:t>Una plataforma de producción de petróleo menor a lo previst</w:t>
      </w:r>
      <w:r w:rsidR="00897607">
        <w:rPr>
          <w:rFonts w:ascii="Arial" w:eastAsiaTheme="minorHAnsi" w:hAnsi="Arial" w:cs="Arial"/>
          <w:sz w:val="24"/>
          <w:szCs w:val="24"/>
          <w:lang w:val="es-MX" w:eastAsia="en-US"/>
        </w:rPr>
        <w:t>o</w:t>
      </w:r>
      <w:r>
        <w:rPr>
          <w:rFonts w:ascii="Arial" w:eastAsiaTheme="minorHAnsi" w:hAnsi="Arial" w:cs="Arial"/>
          <w:sz w:val="24"/>
          <w:szCs w:val="24"/>
          <w:lang w:val="es-MX" w:eastAsia="en-US"/>
        </w:rPr>
        <w:t>.</w:t>
      </w:r>
    </w:p>
    <w:p w:rsidR="00A44727" w:rsidRDefault="00513B57" w:rsidP="00513B57">
      <w:pPr>
        <w:pStyle w:val="NormalWeb"/>
        <w:spacing w:beforeLines="0" w:beforeAutospacing="1" w:afterLines="0" w:afterAutospacing="1"/>
        <w:ind w:firstLine="709"/>
        <w:contextualSpacing/>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e) </w:t>
      </w:r>
      <w:r w:rsidR="00A44727" w:rsidRPr="00A44727">
        <w:rPr>
          <w:rFonts w:ascii="Arial" w:eastAsiaTheme="minorHAnsi" w:hAnsi="Arial" w:cs="Arial"/>
          <w:sz w:val="24"/>
          <w:szCs w:val="24"/>
          <w:lang w:val="es-MX" w:eastAsia="en-US"/>
        </w:rPr>
        <w:t>Un incremento de las tensiones geopolíticas.</w:t>
      </w:r>
    </w:p>
    <w:p w:rsidR="00A44727" w:rsidRPr="00513B57" w:rsidRDefault="00513B57" w:rsidP="00513B57">
      <w:pPr>
        <w:spacing w:before="100" w:beforeAutospacing="1" w:after="100" w:afterAutospacing="1" w:line="240" w:lineRule="auto"/>
        <w:jc w:val="both"/>
        <w:rPr>
          <w:rFonts w:ascii="Arial" w:hAnsi="Arial" w:cs="Arial"/>
          <w:sz w:val="24"/>
          <w:szCs w:val="24"/>
        </w:rPr>
      </w:pPr>
      <w:r>
        <w:rPr>
          <w:rFonts w:ascii="Arial" w:hAnsi="Arial" w:cs="Arial"/>
          <w:sz w:val="24"/>
          <w:szCs w:val="24"/>
        </w:rPr>
        <w:t>D</w:t>
      </w:r>
      <w:r w:rsidR="00A44727" w:rsidRPr="00513B57">
        <w:rPr>
          <w:rFonts w:ascii="Arial" w:hAnsi="Arial" w:cs="Arial"/>
          <w:sz w:val="24"/>
          <w:szCs w:val="24"/>
        </w:rPr>
        <w:t>e materializar</w:t>
      </w:r>
      <w:r w:rsidR="00897607">
        <w:rPr>
          <w:rFonts w:ascii="Arial" w:hAnsi="Arial" w:cs="Arial"/>
          <w:sz w:val="24"/>
          <w:szCs w:val="24"/>
        </w:rPr>
        <w:t>se</w:t>
      </w:r>
      <w:r w:rsidR="00A44727" w:rsidRPr="00513B57">
        <w:rPr>
          <w:rFonts w:ascii="Arial" w:hAnsi="Arial" w:cs="Arial"/>
          <w:sz w:val="24"/>
          <w:szCs w:val="24"/>
        </w:rPr>
        <w:t xml:space="preserve"> los riesgos macroeconómicos que se describen, podría generarse un impacto negativo en el dinamismo de la economía del estado, lo que podría afectar </w:t>
      </w:r>
      <w:r>
        <w:rPr>
          <w:rFonts w:ascii="Arial" w:hAnsi="Arial" w:cs="Arial"/>
          <w:sz w:val="24"/>
          <w:szCs w:val="24"/>
        </w:rPr>
        <w:t xml:space="preserve">las </w:t>
      </w:r>
      <w:r w:rsidR="00A44727" w:rsidRPr="00513B57">
        <w:rPr>
          <w:rFonts w:ascii="Arial" w:hAnsi="Arial" w:cs="Arial"/>
          <w:sz w:val="24"/>
          <w:szCs w:val="24"/>
        </w:rPr>
        <w:t>variables relacionadas con la recaudación de ingresos locales.</w:t>
      </w:r>
    </w:p>
    <w:p w:rsidR="00A44727" w:rsidRPr="00513B57" w:rsidRDefault="00A44727" w:rsidP="00513B57">
      <w:pPr>
        <w:spacing w:before="100" w:beforeAutospacing="1" w:after="100" w:afterAutospacing="1" w:line="240" w:lineRule="auto"/>
        <w:jc w:val="both"/>
        <w:rPr>
          <w:rFonts w:ascii="Arial" w:hAnsi="Arial" w:cs="Arial"/>
          <w:sz w:val="24"/>
          <w:szCs w:val="24"/>
        </w:rPr>
      </w:pPr>
      <w:r w:rsidRPr="00513B57">
        <w:rPr>
          <w:rFonts w:ascii="Arial" w:hAnsi="Arial" w:cs="Arial"/>
          <w:sz w:val="24"/>
          <w:szCs w:val="24"/>
        </w:rPr>
        <w:t>La Junta de Gobierno del Banco Central de México considera "indispensable" ajustar la política monetaria para que la inflación converja a la meta de</w:t>
      </w:r>
      <w:r w:rsidR="00513B57">
        <w:rPr>
          <w:rFonts w:ascii="Arial" w:hAnsi="Arial" w:cs="Arial"/>
          <w:sz w:val="24"/>
          <w:szCs w:val="24"/>
        </w:rPr>
        <w:t>l</w:t>
      </w:r>
      <w:r w:rsidRPr="00513B57">
        <w:rPr>
          <w:rFonts w:ascii="Arial" w:hAnsi="Arial" w:cs="Arial"/>
          <w:sz w:val="24"/>
          <w:szCs w:val="24"/>
        </w:rPr>
        <w:t xml:space="preserve"> 3% según la minuta</w:t>
      </w:r>
      <w:r w:rsidR="006156BF">
        <w:rPr>
          <w:rFonts w:ascii="Arial" w:hAnsi="Arial" w:cs="Arial"/>
          <w:sz w:val="24"/>
          <w:szCs w:val="24"/>
        </w:rPr>
        <w:t xml:space="preserve"> número 63 con motivo de</w:t>
      </w:r>
      <w:r w:rsidRPr="00513B57">
        <w:rPr>
          <w:rFonts w:ascii="Arial" w:hAnsi="Arial" w:cs="Arial"/>
          <w:sz w:val="24"/>
          <w:szCs w:val="24"/>
        </w:rPr>
        <w:t xml:space="preserve"> la decisión de política monetaria</w:t>
      </w:r>
      <w:r w:rsidR="006156BF">
        <w:rPr>
          <w:rFonts w:ascii="Arial" w:hAnsi="Arial" w:cs="Arial"/>
          <w:sz w:val="24"/>
          <w:szCs w:val="24"/>
        </w:rPr>
        <w:t xml:space="preserve"> anunciada el 15 de noviembre de 2018 y</w:t>
      </w:r>
      <w:r w:rsidRPr="00513B57">
        <w:rPr>
          <w:rFonts w:ascii="Arial" w:hAnsi="Arial" w:cs="Arial"/>
          <w:sz w:val="24"/>
          <w:szCs w:val="24"/>
        </w:rPr>
        <w:t xml:space="preserve"> publicada el 29</w:t>
      </w:r>
      <w:r w:rsidR="006156BF">
        <w:rPr>
          <w:rFonts w:ascii="Arial" w:hAnsi="Arial" w:cs="Arial"/>
          <w:sz w:val="24"/>
          <w:szCs w:val="24"/>
        </w:rPr>
        <w:t xml:space="preserve"> del mismo mes y año</w:t>
      </w:r>
      <w:r w:rsidRPr="00513B57">
        <w:rPr>
          <w:rFonts w:ascii="Arial" w:hAnsi="Arial" w:cs="Arial"/>
          <w:sz w:val="24"/>
          <w:szCs w:val="24"/>
        </w:rPr>
        <w:t>.</w:t>
      </w:r>
      <w:r w:rsidR="006156BF">
        <w:rPr>
          <w:rFonts w:ascii="Arial" w:hAnsi="Arial" w:cs="Arial"/>
          <w:sz w:val="24"/>
          <w:szCs w:val="24"/>
        </w:rPr>
        <w:t xml:space="preserve"> Prevé presiones inflacionarias</w:t>
      </w:r>
      <w:r w:rsidRPr="00513B57">
        <w:rPr>
          <w:rFonts w:ascii="Arial" w:hAnsi="Arial" w:cs="Arial"/>
          <w:sz w:val="24"/>
          <w:szCs w:val="24"/>
        </w:rPr>
        <w:t xml:space="preserve"> y advirtió sobre los riesgos de algunas políticas del gobierno entrante para el crecimiento económico y la formación de precios. </w:t>
      </w:r>
      <w:r w:rsidR="006156BF">
        <w:rPr>
          <w:rFonts w:ascii="Arial" w:hAnsi="Arial" w:cs="Arial"/>
          <w:sz w:val="24"/>
          <w:szCs w:val="24"/>
        </w:rPr>
        <w:t>Asimismo, t</w:t>
      </w:r>
      <w:r w:rsidRPr="00513B57">
        <w:rPr>
          <w:rFonts w:ascii="Arial" w:hAnsi="Arial" w:cs="Arial"/>
          <w:sz w:val="24"/>
          <w:szCs w:val="24"/>
        </w:rPr>
        <w:t>odos los miembros de la junta de gobierno consideraron que el balance de riesgos para la trayectoria esperada de la inflación</w:t>
      </w:r>
      <w:r w:rsidR="00100304">
        <w:rPr>
          <w:rFonts w:ascii="Arial" w:hAnsi="Arial" w:cs="Arial"/>
          <w:sz w:val="24"/>
          <w:szCs w:val="24"/>
        </w:rPr>
        <w:t>,</w:t>
      </w:r>
      <w:r w:rsidRPr="00513B57">
        <w:rPr>
          <w:rFonts w:ascii="Arial" w:hAnsi="Arial" w:cs="Arial"/>
          <w:sz w:val="24"/>
          <w:szCs w:val="24"/>
        </w:rPr>
        <w:t xml:space="preserve"> se ha deteriorado y muestra un importante se</w:t>
      </w:r>
      <w:r w:rsidR="006156BF">
        <w:rPr>
          <w:rFonts w:ascii="Arial" w:hAnsi="Arial" w:cs="Arial"/>
          <w:sz w:val="24"/>
          <w:szCs w:val="24"/>
        </w:rPr>
        <w:t>s</w:t>
      </w:r>
      <w:r w:rsidRPr="00513B57">
        <w:rPr>
          <w:rFonts w:ascii="Arial" w:hAnsi="Arial" w:cs="Arial"/>
          <w:sz w:val="24"/>
          <w:szCs w:val="24"/>
        </w:rPr>
        <w:t>go al alza</w:t>
      </w:r>
      <w:r w:rsidR="00100304">
        <w:rPr>
          <w:rFonts w:ascii="Arial" w:hAnsi="Arial" w:cs="Arial"/>
          <w:sz w:val="24"/>
          <w:szCs w:val="24"/>
        </w:rPr>
        <w:t>,</w:t>
      </w:r>
      <w:r w:rsidRPr="00513B57">
        <w:rPr>
          <w:rFonts w:ascii="Arial" w:hAnsi="Arial" w:cs="Arial"/>
          <w:sz w:val="24"/>
          <w:szCs w:val="24"/>
        </w:rPr>
        <w:t xml:space="preserve"> en un entorno de marcada incertidumbre</w:t>
      </w:r>
      <w:r w:rsidR="006156BF">
        <w:rPr>
          <w:rFonts w:ascii="Arial" w:hAnsi="Arial" w:cs="Arial"/>
          <w:sz w:val="24"/>
          <w:szCs w:val="24"/>
        </w:rPr>
        <w:t>.</w:t>
      </w:r>
    </w:p>
    <w:p w:rsidR="00A44727" w:rsidRPr="00513B57" w:rsidRDefault="00A44727" w:rsidP="00513B57">
      <w:pPr>
        <w:spacing w:before="100" w:beforeAutospacing="1" w:after="100" w:afterAutospacing="1" w:line="240" w:lineRule="auto"/>
        <w:jc w:val="both"/>
        <w:rPr>
          <w:rFonts w:ascii="Arial" w:hAnsi="Arial" w:cs="Arial"/>
          <w:sz w:val="24"/>
          <w:szCs w:val="24"/>
        </w:rPr>
      </w:pPr>
      <w:r w:rsidRPr="00513B57">
        <w:rPr>
          <w:rFonts w:ascii="Arial" w:hAnsi="Arial" w:cs="Arial"/>
          <w:sz w:val="24"/>
          <w:szCs w:val="24"/>
        </w:rPr>
        <w:t>Bajo este contexto se identifican los siguientes riesgos:</w:t>
      </w:r>
    </w:p>
    <w:p w:rsidR="00A44727" w:rsidRPr="006156BF" w:rsidRDefault="00A44727" w:rsidP="006156BF">
      <w:pPr>
        <w:pStyle w:val="Prrafodelista"/>
        <w:spacing w:before="100" w:beforeAutospacing="1" w:after="100" w:afterAutospacing="1" w:line="240" w:lineRule="auto"/>
        <w:ind w:left="0"/>
        <w:jc w:val="both"/>
        <w:rPr>
          <w:rFonts w:ascii="Arial" w:hAnsi="Arial" w:cs="Arial"/>
          <w:i/>
          <w:sz w:val="24"/>
          <w:szCs w:val="24"/>
        </w:rPr>
      </w:pPr>
      <w:r w:rsidRPr="006156BF">
        <w:rPr>
          <w:rFonts w:ascii="Arial" w:hAnsi="Arial" w:cs="Arial"/>
          <w:i/>
          <w:sz w:val="24"/>
          <w:szCs w:val="24"/>
        </w:rPr>
        <w:t>Riesgo por reducción de ingresos</w:t>
      </w:r>
    </w:p>
    <w:p w:rsidR="00A44727" w:rsidRPr="006156BF" w:rsidRDefault="00A44727" w:rsidP="006156BF">
      <w:pPr>
        <w:spacing w:before="100" w:beforeAutospacing="1" w:after="100" w:afterAutospacing="1" w:line="240" w:lineRule="auto"/>
        <w:jc w:val="both"/>
        <w:rPr>
          <w:rFonts w:ascii="Arial" w:hAnsi="Arial" w:cs="Arial"/>
          <w:sz w:val="24"/>
          <w:szCs w:val="24"/>
        </w:rPr>
      </w:pPr>
      <w:r w:rsidRPr="006156BF">
        <w:rPr>
          <w:rFonts w:ascii="Arial" w:hAnsi="Arial" w:cs="Arial"/>
          <w:sz w:val="24"/>
          <w:szCs w:val="24"/>
        </w:rPr>
        <w:t>El riesgo se puede materializar</w:t>
      </w:r>
      <w:r w:rsidR="006156BF">
        <w:rPr>
          <w:rFonts w:ascii="Arial" w:hAnsi="Arial" w:cs="Arial"/>
          <w:sz w:val="24"/>
          <w:szCs w:val="24"/>
        </w:rPr>
        <w:t xml:space="preserve"> </w:t>
      </w:r>
      <w:r w:rsidRPr="006156BF">
        <w:rPr>
          <w:rFonts w:ascii="Arial" w:hAnsi="Arial" w:cs="Arial"/>
          <w:sz w:val="24"/>
          <w:szCs w:val="24"/>
        </w:rPr>
        <w:t xml:space="preserve">en los siguientes escenarios: </w:t>
      </w:r>
    </w:p>
    <w:p w:rsidR="00A44727" w:rsidRPr="006156BF" w:rsidRDefault="006156BF" w:rsidP="00234EDD">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a) </w:t>
      </w:r>
      <w:r w:rsidR="00A44727" w:rsidRPr="006156BF">
        <w:rPr>
          <w:rFonts w:ascii="Arial" w:eastAsiaTheme="minorHAnsi" w:hAnsi="Arial" w:cs="Arial"/>
          <w:sz w:val="24"/>
          <w:szCs w:val="24"/>
          <w:lang w:val="es-MX" w:eastAsia="en-US"/>
        </w:rPr>
        <w:t>La reducción en la captación de recursos locales derivados de un menor crecimiento económico y una consecuente contracción en la tasa de empleo formal.</w:t>
      </w:r>
    </w:p>
    <w:p w:rsidR="00A44727" w:rsidRPr="006156BF" w:rsidRDefault="006156BF" w:rsidP="00234EDD">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b) </w:t>
      </w:r>
      <w:r w:rsidR="00A44727" w:rsidRPr="006156BF">
        <w:rPr>
          <w:rFonts w:ascii="Arial" w:eastAsiaTheme="minorHAnsi" w:hAnsi="Arial" w:cs="Arial"/>
          <w:sz w:val="24"/>
          <w:szCs w:val="24"/>
          <w:lang w:val="es-MX" w:eastAsia="en-US"/>
        </w:rPr>
        <w:t>La reducción en las transferencias por par</w:t>
      </w:r>
      <w:r w:rsidR="00234EDD">
        <w:rPr>
          <w:rFonts w:ascii="Arial" w:eastAsiaTheme="minorHAnsi" w:hAnsi="Arial" w:cs="Arial"/>
          <w:sz w:val="24"/>
          <w:szCs w:val="24"/>
          <w:lang w:val="es-MX" w:eastAsia="en-US"/>
        </w:rPr>
        <w:t>ticipaciones federales, derivada</w:t>
      </w:r>
      <w:r w:rsidR="00A44727" w:rsidRPr="006156BF">
        <w:rPr>
          <w:rFonts w:ascii="Arial" w:eastAsiaTheme="minorHAnsi" w:hAnsi="Arial" w:cs="Arial"/>
          <w:sz w:val="24"/>
          <w:szCs w:val="24"/>
          <w:lang w:val="es-MX" w:eastAsia="en-US"/>
        </w:rPr>
        <w:t xml:space="preserve"> de una menor recaudación de los ingresos federales.</w:t>
      </w:r>
    </w:p>
    <w:p w:rsidR="00A44727" w:rsidRPr="006156BF" w:rsidRDefault="006156BF" w:rsidP="00234EDD">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 xml:space="preserve">c) </w:t>
      </w:r>
      <w:r w:rsidR="00A44727" w:rsidRPr="006156BF">
        <w:rPr>
          <w:rFonts w:ascii="Arial" w:eastAsiaTheme="minorHAnsi" w:hAnsi="Arial" w:cs="Arial"/>
          <w:sz w:val="24"/>
          <w:szCs w:val="24"/>
          <w:lang w:val="es-MX" w:eastAsia="en-US"/>
        </w:rPr>
        <w:t>La reducción en la plataforma de exportación y en el precio internacional del petróleo, ya que no obstante que existe un seg</w:t>
      </w:r>
      <w:r w:rsidR="00234EDD">
        <w:rPr>
          <w:rFonts w:ascii="Arial" w:eastAsiaTheme="minorHAnsi" w:hAnsi="Arial" w:cs="Arial"/>
          <w:sz w:val="24"/>
          <w:szCs w:val="24"/>
          <w:lang w:val="es-MX" w:eastAsia="en-US"/>
        </w:rPr>
        <w:t>uro contratado por el g</w:t>
      </w:r>
      <w:r w:rsidR="00A44727" w:rsidRPr="006156BF">
        <w:rPr>
          <w:rFonts w:ascii="Arial" w:eastAsiaTheme="minorHAnsi" w:hAnsi="Arial" w:cs="Arial"/>
          <w:sz w:val="24"/>
          <w:szCs w:val="24"/>
          <w:lang w:val="es-MX" w:eastAsia="en-US"/>
        </w:rPr>
        <w:t xml:space="preserve">obierno </w:t>
      </w:r>
      <w:r w:rsidR="00234EDD">
        <w:rPr>
          <w:rFonts w:ascii="Arial" w:eastAsiaTheme="minorHAnsi" w:hAnsi="Arial" w:cs="Arial"/>
          <w:sz w:val="24"/>
          <w:szCs w:val="24"/>
          <w:lang w:val="es-MX" w:eastAsia="en-US"/>
        </w:rPr>
        <w:t>f</w:t>
      </w:r>
      <w:r w:rsidR="00A44727" w:rsidRPr="006156BF">
        <w:rPr>
          <w:rFonts w:ascii="Arial" w:eastAsiaTheme="minorHAnsi" w:hAnsi="Arial" w:cs="Arial"/>
          <w:sz w:val="24"/>
          <w:szCs w:val="24"/>
          <w:lang w:val="es-MX" w:eastAsia="en-US"/>
        </w:rPr>
        <w:t xml:space="preserve">ederal, </w:t>
      </w:r>
      <w:r w:rsidR="00234EDD">
        <w:rPr>
          <w:rFonts w:ascii="Arial" w:eastAsiaTheme="minorHAnsi" w:hAnsi="Arial" w:cs="Arial"/>
          <w:sz w:val="24"/>
          <w:szCs w:val="24"/>
          <w:lang w:val="es-MX" w:eastAsia="en-US"/>
        </w:rPr>
        <w:t>la diferencia</w:t>
      </w:r>
      <w:r w:rsidR="00A44727" w:rsidRPr="006156BF">
        <w:rPr>
          <w:rFonts w:ascii="Arial" w:eastAsiaTheme="minorHAnsi" w:hAnsi="Arial" w:cs="Arial"/>
          <w:sz w:val="24"/>
          <w:szCs w:val="24"/>
          <w:lang w:val="es-MX" w:eastAsia="en-US"/>
        </w:rPr>
        <w:t xml:space="preserve"> de</w:t>
      </w:r>
      <w:r w:rsidR="00234EDD">
        <w:rPr>
          <w:rFonts w:ascii="Arial" w:eastAsiaTheme="minorHAnsi" w:hAnsi="Arial" w:cs="Arial"/>
          <w:sz w:val="24"/>
          <w:szCs w:val="24"/>
          <w:lang w:val="es-MX" w:eastAsia="en-US"/>
        </w:rPr>
        <w:t>l</w:t>
      </w:r>
      <w:r w:rsidR="00A44727" w:rsidRPr="006156BF">
        <w:rPr>
          <w:rFonts w:ascii="Arial" w:eastAsiaTheme="minorHAnsi" w:hAnsi="Arial" w:cs="Arial"/>
          <w:sz w:val="24"/>
          <w:szCs w:val="24"/>
          <w:lang w:val="es-MX" w:eastAsia="en-US"/>
        </w:rPr>
        <w:t xml:space="preserve"> precio real contra el asegurado no forma parte de la </w:t>
      </w:r>
      <w:r w:rsidR="00234EDD">
        <w:rPr>
          <w:rFonts w:ascii="Arial" w:eastAsiaTheme="minorHAnsi" w:hAnsi="Arial" w:cs="Arial"/>
          <w:sz w:val="24"/>
          <w:szCs w:val="24"/>
          <w:lang w:val="es-MX" w:eastAsia="en-US"/>
        </w:rPr>
        <w:t>r</w:t>
      </w:r>
      <w:r w:rsidR="00A44727" w:rsidRPr="006156BF">
        <w:rPr>
          <w:rFonts w:ascii="Arial" w:eastAsiaTheme="minorHAnsi" w:hAnsi="Arial" w:cs="Arial"/>
          <w:sz w:val="24"/>
          <w:szCs w:val="24"/>
          <w:lang w:val="es-MX" w:eastAsia="en-US"/>
        </w:rPr>
        <w:t xml:space="preserve">ecaudación </w:t>
      </w:r>
      <w:r w:rsidR="00234EDD">
        <w:rPr>
          <w:rFonts w:ascii="Arial" w:eastAsiaTheme="minorHAnsi" w:hAnsi="Arial" w:cs="Arial"/>
          <w:sz w:val="24"/>
          <w:szCs w:val="24"/>
          <w:lang w:val="es-MX" w:eastAsia="en-US"/>
        </w:rPr>
        <w:t>federal p</w:t>
      </w:r>
      <w:r w:rsidR="00A44727" w:rsidRPr="006156BF">
        <w:rPr>
          <w:rFonts w:ascii="Arial" w:eastAsiaTheme="minorHAnsi" w:hAnsi="Arial" w:cs="Arial"/>
          <w:sz w:val="24"/>
          <w:szCs w:val="24"/>
          <w:lang w:val="es-MX" w:eastAsia="en-US"/>
        </w:rPr>
        <w:t xml:space="preserve">articipable, que es la base para el cálculo de las participaciones </w:t>
      </w:r>
      <w:r w:rsidR="00D61A82">
        <w:rPr>
          <w:rFonts w:ascii="Arial" w:eastAsiaTheme="minorHAnsi" w:hAnsi="Arial" w:cs="Arial"/>
          <w:sz w:val="24"/>
          <w:szCs w:val="24"/>
          <w:lang w:val="es-MX" w:eastAsia="en-US"/>
        </w:rPr>
        <w:t>de</w:t>
      </w:r>
      <w:r w:rsidR="00A44727" w:rsidRPr="006156BF">
        <w:rPr>
          <w:rFonts w:ascii="Arial" w:eastAsiaTheme="minorHAnsi" w:hAnsi="Arial" w:cs="Arial"/>
          <w:sz w:val="24"/>
          <w:szCs w:val="24"/>
          <w:lang w:val="es-MX" w:eastAsia="en-US"/>
        </w:rPr>
        <w:t xml:space="preserve"> los </w:t>
      </w:r>
      <w:r w:rsidR="00234EDD">
        <w:rPr>
          <w:rFonts w:ascii="Arial" w:eastAsiaTheme="minorHAnsi" w:hAnsi="Arial" w:cs="Arial"/>
          <w:sz w:val="24"/>
          <w:szCs w:val="24"/>
          <w:lang w:val="es-MX" w:eastAsia="en-US"/>
        </w:rPr>
        <w:t>e</w:t>
      </w:r>
      <w:r w:rsidR="00A44727" w:rsidRPr="006156BF">
        <w:rPr>
          <w:rFonts w:ascii="Arial" w:eastAsiaTheme="minorHAnsi" w:hAnsi="Arial" w:cs="Arial"/>
          <w:sz w:val="24"/>
          <w:szCs w:val="24"/>
          <w:lang w:val="es-MX" w:eastAsia="en-US"/>
        </w:rPr>
        <w:t xml:space="preserve">stados y </w:t>
      </w:r>
      <w:r w:rsidR="00234EDD">
        <w:rPr>
          <w:rFonts w:ascii="Arial" w:eastAsiaTheme="minorHAnsi" w:hAnsi="Arial" w:cs="Arial"/>
          <w:sz w:val="24"/>
          <w:szCs w:val="24"/>
          <w:lang w:val="es-MX" w:eastAsia="en-US"/>
        </w:rPr>
        <w:t>m</w:t>
      </w:r>
      <w:r w:rsidR="00A44727" w:rsidRPr="006156BF">
        <w:rPr>
          <w:rFonts w:ascii="Arial" w:eastAsiaTheme="minorHAnsi" w:hAnsi="Arial" w:cs="Arial"/>
          <w:sz w:val="24"/>
          <w:szCs w:val="24"/>
          <w:lang w:val="es-MX" w:eastAsia="en-US"/>
        </w:rPr>
        <w:t>unicipios.</w:t>
      </w:r>
    </w:p>
    <w:p w:rsidR="00A44727" w:rsidRPr="006156BF" w:rsidRDefault="008D6E6A" w:rsidP="008D6E6A">
      <w:pPr>
        <w:pStyle w:val="NormalWeb"/>
        <w:spacing w:beforeLines="0" w:beforeAutospacing="1" w:afterLines="0" w:afterAutospacing="1"/>
        <w:ind w:firstLine="709"/>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lastRenderedPageBreak/>
        <w:t xml:space="preserve">d) </w:t>
      </w:r>
      <w:r w:rsidR="00A44727" w:rsidRPr="006156BF">
        <w:rPr>
          <w:rFonts w:ascii="Arial" w:eastAsiaTheme="minorHAnsi" w:hAnsi="Arial" w:cs="Arial"/>
          <w:sz w:val="24"/>
          <w:szCs w:val="24"/>
          <w:lang w:val="es-MX" w:eastAsia="en-US"/>
        </w:rPr>
        <w:t>La reducción en los conv</w:t>
      </w:r>
      <w:r>
        <w:rPr>
          <w:rFonts w:ascii="Arial" w:eastAsiaTheme="minorHAnsi" w:hAnsi="Arial" w:cs="Arial"/>
          <w:sz w:val="24"/>
          <w:szCs w:val="24"/>
          <w:lang w:val="es-MX" w:eastAsia="en-US"/>
        </w:rPr>
        <w:t>enios de coordinación por reasignación de recursos, derivada</w:t>
      </w:r>
      <w:r w:rsidR="00A44727" w:rsidRPr="006156BF">
        <w:rPr>
          <w:rFonts w:ascii="Arial" w:eastAsiaTheme="minorHAnsi" w:hAnsi="Arial" w:cs="Arial"/>
          <w:sz w:val="24"/>
          <w:szCs w:val="24"/>
          <w:lang w:val="es-MX" w:eastAsia="en-US"/>
        </w:rPr>
        <w:t xml:space="preserve"> de un probable recorte del gasto federal, en caso de que el </w:t>
      </w:r>
      <w:r>
        <w:rPr>
          <w:rFonts w:ascii="Arial" w:eastAsiaTheme="minorHAnsi" w:hAnsi="Arial" w:cs="Arial"/>
          <w:sz w:val="24"/>
          <w:szCs w:val="24"/>
          <w:lang w:val="es-MX" w:eastAsia="en-US"/>
        </w:rPr>
        <w:t>g</w:t>
      </w:r>
      <w:r w:rsidR="00A44727" w:rsidRPr="006156BF">
        <w:rPr>
          <w:rFonts w:ascii="Arial" w:eastAsiaTheme="minorHAnsi" w:hAnsi="Arial" w:cs="Arial"/>
          <w:sz w:val="24"/>
          <w:szCs w:val="24"/>
          <w:lang w:val="es-MX" w:eastAsia="en-US"/>
        </w:rPr>
        <w:t xml:space="preserve">obierno </w:t>
      </w:r>
      <w:r>
        <w:rPr>
          <w:rFonts w:ascii="Arial" w:eastAsiaTheme="minorHAnsi" w:hAnsi="Arial" w:cs="Arial"/>
          <w:sz w:val="24"/>
          <w:szCs w:val="24"/>
          <w:lang w:val="es-MX" w:eastAsia="en-US"/>
        </w:rPr>
        <w:t>f</w:t>
      </w:r>
      <w:r w:rsidR="00A44727" w:rsidRPr="006156BF">
        <w:rPr>
          <w:rFonts w:ascii="Arial" w:eastAsiaTheme="minorHAnsi" w:hAnsi="Arial" w:cs="Arial"/>
          <w:sz w:val="24"/>
          <w:szCs w:val="24"/>
          <w:lang w:val="es-MX" w:eastAsia="en-US"/>
        </w:rPr>
        <w:t>ederal adopte medidas de reducci</w:t>
      </w:r>
      <w:r>
        <w:rPr>
          <w:rFonts w:ascii="Arial" w:eastAsiaTheme="minorHAnsi" w:hAnsi="Arial" w:cs="Arial"/>
          <w:sz w:val="24"/>
          <w:szCs w:val="24"/>
          <w:lang w:val="es-MX" w:eastAsia="en-US"/>
        </w:rPr>
        <w:t>ón</w:t>
      </w:r>
      <w:r w:rsidR="00A44727" w:rsidRPr="006156BF">
        <w:rPr>
          <w:rFonts w:ascii="Arial" w:eastAsiaTheme="minorHAnsi" w:hAnsi="Arial" w:cs="Arial"/>
          <w:sz w:val="24"/>
          <w:szCs w:val="24"/>
          <w:lang w:val="es-MX" w:eastAsia="en-US"/>
        </w:rPr>
        <w:t xml:space="preserve"> adicionales del gasto.</w:t>
      </w:r>
    </w:p>
    <w:p w:rsidR="00A44727" w:rsidRPr="008D6E6A" w:rsidRDefault="00E86D70" w:rsidP="008D6E6A">
      <w:pPr>
        <w:pStyle w:val="NormalWeb"/>
        <w:spacing w:beforeLines="0" w:beforeAutospacing="1" w:afterLines="0" w:afterAutospacing="1"/>
        <w:jc w:val="both"/>
        <w:rPr>
          <w:rFonts w:ascii="Arial" w:eastAsiaTheme="minorHAnsi" w:hAnsi="Arial" w:cs="Arial"/>
          <w:i/>
          <w:sz w:val="24"/>
          <w:szCs w:val="24"/>
          <w:lang w:val="es-MX" w:eastAsia="en-US"/>
        </w:rPr>
      </w:pPr>
      <w:r>
        <w:rPr>
          <w:rFonts w:ascii="Arial" w:eastAsiaTheme="minorHAnsi" w:hAnsi="Arial" w:cs="Arial"/>
          <w:i/>
          <w:sz w:val="24"/>
          <w:szCs w:val="24"/>
          <w:lang w:val="es-MX" w:eastAsia="en-US"/>
        </w:rPr>
        <w:t>Propuesta de acción por reducción de i</w:t>
      </w:r>
      <w:r w:rsidR="00A44727" w:rsidRPr="008D6E6A">
        <w:rPr>
          <w:rFonts w:ascii="Arial" w:eastAsiaTheme="minorHAnsi" w:hAnsi="Arial" w:cs="Arial"/>
          <w:i/>
          <w:sz w:val="24"/>
          <w:szCs w:val="24"/>
          <w:lang w:val="es-MX" w:eastAsia="en-US"/>
        </w:rPr>
        <w:t>ngresos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caso que se presentara alguno o varios de los escenarios </w:t>
      </w:r>
      <w:r w:rsidR="00087231">
        <w:rPr>
          <w:rFonts w:ascii="Arial" w:hAnsi="Arial" w:cs="Arial"/>
          <w:sz w:val="24"/>
          <w:szCs w:val="24"/>
        </w:rPr>
        <w:t>descrit</w:t>
      </w:r>
      <w:r w:rsidRPr="002F30A9">
        <w:rPr>
          <w:rFonts w:ascii="Arial" w:hAnsi="Arial" w:cs="Arial"/>
          <w:sz w:val="24"/>
          <w:szCs w:val="24"/>
        </w:rPr>
        <w:t>os anteriormente, se plantean las siguientes acciones de contingencia para atenuar el impacto en las finanzas públicas: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La pérdida se mitigaría parcialmente con los recursos derivados del Fondo de Estabilización de los Ingresos de las Entidades Federativas (en lo sucesivo </w:t>
      </w:r>
      <w:r w:rsidR="002F30A9" w:rsidRPr="002F30A9">
        <w:rPr>
          <w:rFonts w:ascii="Arial" w:hAnsi="Arial" w:cs="Arial"/>
          <w:sz w:val="24"/>
          <w:szCs w:val="24"/>
        </w:rPr>
        <w:t>FEIEF</w:t>
      </w:r>
      <w:r w:rsidRPr="002F30A9">
        <w:rPr>
          <w:rFonts w:ascii="Arial" w:hAnsi="Arial" w:cs="Arial"/>
          <w:sz w:val="24"/>
          <w:szCs w:val="24"/>
        </w:rPr>
        <w:t>).</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caso necesario se solicitaría la autorización del Congreso para la potenciación de los recursos del FEIEF, en coordinación con la Secretaría de Hacienda y Crédito Público, </w:t>
      </w:r>
      <w:r w:rsidR="006E012F">
        <w:rPr>
          <w:rFonts w:ascii="Arial" w:hAnsi="Arial" w:cs="Arial"/>
          <w:sz w:val="24"/>
          <w:szCs w:val="24"/>
        </w:rPr>
        <w:t>si</w:t>
      </w:r>
      <w:r w:rsidRPr="002F30A9">
        <w:rPr>
          <w:rFonts w:ascii="Arial" w:hAnsi="Arial" w:cs="Arial"/>
          <w:sz w:val="24"/>
          <w:szCs w:val="24"/>
        </w:rPr>
        <w:t xml:space="preserve"> estos resultaran insuficientes para compensar la caída en las participaciones federales.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cumplimiento </w:t>
      </w:r>
      <w:r w:rsidR="00E86D70">
        <w:rPr>
          <w:rFonts w:ascii="Arial" w:hAnsi="Arial" w:cs="Arial"/>
          <w:sz w:val="24"/>
          <w:szCs w:val="24"/>
        </w:rPr>
        <w:t>a lo dispuesto en el</w:t>
      </w:r>
      <w:r w:rsidRPr="002F30A9">
        <w:rPr>
          <w:rFonts w:ascii="Arial" w:hAnsi="Arial" w:cs="Arial"/>
          <w:sz w:val="24"/>
          <w:szCs w:val="24"/>
        </w:rPr>
        <w:t xml:space="preserve"> artículo 15 de la Ley de Disciplina Financiera de las Entidades</w:t>
      </w:r>
      <w:r w:rsidR="00E86D70">
        <w:rPr>
          <w:rFonts w:ascii="Arial" w:hAnsi="Arial" w:cs="Arial"/>
          <w:sz w:val="24"/>
          <w:szCs w:val="24"/>
        </w:rPr>
        <w:t xml:space="preserve"> Federativas y los Municipios y </w:t>
      </w:r>
      <w:r w:rsidR="00B73F4C">
        <w:rPr>
          <w:rFonts w:ascii="Arial" w:hAnsi="Arial" w:cs="Arial"/>
          <w:sz w:val="24"/>
          <w:szCs w:val="24"/>
        </w:rPr>
        <w:t>a</w:t>
      </w:r>
      <w:r w:rsidRPr="002F30A9">
        <w:rPr>
          <w:rFonts w:ascii="Arial" w:hAnsi="Arial" w:cs="Arial"/>
          <w:sz w:val="24"/>
          <w:szCs w:val="24"/>
        </w:rPr>
        <w:t xml:space="preserve"> efecto de mantener el balance presupuestario en equilibrio</w:t>
      </w:r>
      <w:r w:rsidR="00E86D70">
        <w:rPr>
          <w:rFonts w:ascii="Arial" w:hAnsi="Arial" w:cs="Arial"/>
          <w:sz w:val="24"/>
          <w:szCs w:val="24"/>
        </w:rPr>
        <w:t xml:space="preserve">, se </w:t>
      </w:r>
      <w:r w:rsidR="00E86D70" w:rsidRPr="002F30A9">
        <w:rPr>
          <w:rFonts w:ascii="Arial" w:hAnsi="Arial" w:cs="Arial"/>
          <w:sz w:val="24"/>
          <w:szCs w:val="24"/>
        </w:rPr>
        <w:t>realizarían oportunamente los ajustes correspondientes al</w:t>
      </w:r>
      <w:r w:rsidR="00E86D70">
        <w:rPr>
          <w:rFonts w:ascii="Arial" w:hAnsi="Arial" w:cs="Arial"/>
          <w:sz w:val="24"/>
          <w:szCs w:val="24"/>
        </w:rPr>
        <w:t xml:space="preserve"> Presupuesto de Egresos</w:t>
      </w:r>
      <w:r w:rsidRPr="002F30A9">
        <w:rPr>
          <w:rFonts w:ascii="Arial" w:hAnsi="Arial" w:cs="Arial"/>
          <w:sz w:val="24"/>
          <w:szCs w:val="24"/>
        </w:rPr>
        <w:t xml:space="preserve"> en los rubros</w:t>
      </w:r>
      <w:r w:rsidR="00E86D70">
        <w:rPr>
          <w:rFonts w:ascii="Arial" w:hAnsi="Arial" w:cs="Arial"/>
          <w:sz w:val="24"/>
          <w:szCs w:val="24"/>
        </w:rPr>
        <w:t xml:space="preserve"> de gasto en el siguiente orden</w:t>
      </w:r>
      <w:r w:rsidRPr="002F30A9">
        <w:rPr>
          <w:rFonts w:ascii="Arial" w:hAnsi="Arial" w:cs="Arial"/>
          <w:sz w:val="24"/>
          <w:szCs w:val="24"/>
        </w:rPr>
        <w:t>:</w:t>
      </w:r>
    </w:p>
    <w:p w:rsidR="00A44727" w:rsidRPr="002F30A9" w:rsidRDefault="00B73F4C" w:rsidP="00972FE4">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a) Gastos de comunicación social.</w:t>
      </w:r>
    </w:p>
    <w:p w:rsidR="00A44727" w:rsidRPr="002F30A9" w:rsidRDefault="00B73F4C" w:rsidP="00972FE4">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b) </w:t>
      </w:r>
      <w:r w:rsidR="00A44727" w:rsidRPr="002F30A9">
        <w:rPr>
          <w:rFonts w:ascii="Arial" w:hAnsi="Arial" w:cs="Arial"/>
          <w:sz w:val="24"/>
          <w:szCs w:val="24"/>
        </w:rPr>
        <w:t>Gasto corriente que no constituya un subsidio entregado directamente a la población, en términos de lo dispuesto por el artículo 13, fracción VII</w:t>
      </w:r>
      <w:r w:rsidR="00087231">
        <w:rPr>
          <w:rFonts w:ascii="Arial" w:hAnsi="Arial" w:cs="Arial"/>
          <w:sz w:val="24"/>
          <w:szCs w:val="24"/>
        </w:rPr>
        <w:t>,</w:t>
      </w:r>
      <w:r w:rsidR="00A44727" w:rsidRPr="002F30A9">
        <w:rPr>
          <w:rFonts w:ascii="Arial" w:hAnsi="Arial" w:cs="Arial"/>
          <w:sz w:val="24"/>
          <w:szCs w:val="24"/>
        </w:rPr>
        <w:t xml:space="preserve"> de la </w:t>
      </w:r>
      <w:r>
        <w:rPr>
          <w:rFonts w:ascii="Arial" w:hAnsi="Arial" w:cs="Arial"/>
          <w:sz w:val="24"/>
          <w:szCs w:val="24"/>
        </w:rPr>
        <w:t>Ley de Disciplina Financiera de las Entidades Federativas y los Municipios.</w:t>
      </w:r>
    </w:p>
    <w:p w:rsidR="00A44727" w:rsidRPr="002F30A9" w:rsidRDefault="00972FE4" w:rsidP="00972FE4">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c) </w:t>
      </w:r>
      <w:r w:rsidR="00A44727" w:rsidRPr="002F30A9">
        <w:rPr>
          <w:rFonts w:ascii="Arial" w:hAnsi="Arial" w:cs="Arial"/>
          <w:sz w:val="24"/>
          <w:szCs w:val="24"/>
        </w:rPr>
        <w:t>Gasto en servicios personales, prioritariamente las erogaciones por concepto de percepciones extraordinarias.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 xml:space="preserve">En caso de que los </w:t>
      </w:r>
      <w:r w:rsidR="00972FE4">
        <w:rPr>
          <w:rFonts w:ascii="Arial" w:hAnsi="Arial" w:cs="Arial"/>
          <w:sz w:val="24"/>
          <w:szCs w:val="24"/>
        </w:rPr>
        <w:t>ajustes</w:t>
      </w:r>
      <w:r w:rsidRPr="002F30A9">
        <w:rPr>
          <w:rFonts w:ascii="Arial" w:hAnsi="Arial" w:cs="Arial"/>
          <w:sz w:val="24"/>
          <w:szCs w:val="24"/>
        </w:rPr>
        <w:t xml:space="preserve"> anteriores no sean suficientes para mitigar la disminución de ingresos, podrán realizarse ajustes en otros conceptos de gasto, procurando </w:t>
      </w:r>
      <w:r w:rsidR="00972FE4">
        <w:rPr>
          <w:rFonts w:ascii="Arial" w:hAnsi="Arial" w:cs="Arial"/>
          <w:sz w:val="24"/>
          <w:szCs w:val="24"/>
        </w:rPr>
        <w:t>no afectar</w:t>
      </w:r>
      <w:r w:rsidRPr="002F30A9">
        <w:rPr>
          <w:rFonts w:ascii="Arial" w:hAnsi="Arial" w:cs="Arial"/>
          <w:sz w:val="24"/>
          <w:szCs w:val="24"/>
        </w:rPr>
        <w:t xml:space="preserve"> los programas sociales.</w:t>
      </w:r>
    </w:p>
    <w:p w:rsidR="00A44727" w:rsidRPr="00972FE4" w:rsidRDefault="00972FE4" w:rsidP="002F30A9">
      <w:pPr>
        <w:spacing w:before="100" w:beforeAutospacing="1" w:after="100" w:afterAutospacing="1" w:line="240" w:lineRule="auto"/>
        <w:jc w:val="both"/>
        <w:rPr>
          <w:rFonts w:ascii="Arial" w:hAnsi="Arial" w:cs="Arial"/>
          <w:i/>
          <w:sz w:val="24"/>
          <w:szCs w:val="24"/>
        </w:rPr>
      </w:pPr>
      <w:r w:rsidRPr="00972FE4">
        <w:rPr>
          <w:rFonts w:ascii="Arial" w:hAnsi="Arial" w:cs="Arial"/>
          <w:i/>
          <w:sz w:val="24"/>
          <w:szCs w:val="24"/>
        </w:rPr>
        <w:t>Riesgos de i</w:t>
      </w:r>
      <w:r w:rsidR="00A44727" w:rsidRPr="00972FE4">
        <w:rPr>
          <w:rFonts w:ascii="Arial" w:hAnsi="Arial" w:cs="Arial"/>
          <w:i/>
          <w:sz w:val="24"/>
          <w:szCs w:val="24"/>
        </w:rPr>
        <w:t xml:space="preserve">ncremento en </w:t>
      </w:r>
      <w:r w:rsidRPr="00972FE4">
        <w:rPr>
          <w:rFonts w:ascii="Arial" w:hAnsi="Arial" w:cs="Arial"/>
          <w:i/>
          <w:sz w:val="24"/>
          <w:szCs w:val="24"/>
        </w:rPr>
        <w:t>g</w:t>
      </w:r>
      <w:r w:rsidR="00A44727" w:rsidRPr="00972FE4">
        <w:rPr>
          <w:rFonts w:ascii="Arial" w:hAnsi="Arial" w:cs="Arial"/>
          <w:i/>
          <w:sz w:val="24"/>
          <w:szCs w:val="24"/>
        </w:rPr>
        <w:t>astos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lastRenderedPageBreak/>
        <w:t>Por otra parte, se plantean los riesgos por el incremento en los gastos</w:t>
      </w:r>
      <w:r w:rsidR="00972FE4">
        <w:rPr>
          <w:rFonts w:ascii="Arial" w:hAnsi="Arial" w:cs="Arial"/>
          <w:sz w:val="24"/>
          <w:szCs w:val="24"/>
        </w:rPr>
        <w:t>,</w:t>
      </w:r>
      <w:r w:rsidRPr="002F30A9">
        <w:rPr>
          <w:rFonts w:ascii="Arial" w:hAnsi="Arial" w:cs="Arial"/>
          <w:sz w:val="24"/>
          <w:szCs w:val="24"/>
        </w:rPr>
        <w:t xml:space="preserve"> bajo los siguientes escenarios:</w:t>
      </w:r>
    </w:p>
    <w:p w:rsidR="00A44727" w:rsidRPr="002F30A9" w:rsidRDefault="00972FE4" w:rsidP="006F70CA">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a) </w:t>
      </w:r>
      <w:r w:rsidR="00A44727" w:rsidRPr="002F30A9">
        <w:rPr>
          <w:rFonts w:ascii="Arial" w:hAnsi="Arial" w:cs="Arial"/>
          <w:sz w:val="24"/>
          <w:szCs w:val="24"/>
        </w:rPr>
        <w:t>Por un incremento en las tasas de i</w:t>
      </w:r>
      <w:r w:rsidR="006F70CA">
        <w:rPr>
          <w:rFonts w:ascii="Arial" w:hAnsi="Arial" w:cs="Arial"/>
          <w:sz w:val="24"/>
          <w:szCs w:val="24"/>
        </w:rPr>
        <w:t>nterés internacionales</w:t>
      </w:r>
      <w:r w:rsidR="00EF30FB">
        <w:rPr>
          <w:rFonts w:ascii="Arial" w:hAnsi="Arial" w:cs="Arial"/>
          <w:sz w:val="24"/>
          <w:szCs w:val="24"/>
        </w:rPr>
        <w:t>,</w:t>
      </w:r>
      <w:r w:rsidR="006F70CA">
        <w:rPr>
          <w:rFonts w:ascii="Arial" w:hAnsi="Arial" w:cs="Arial"/>
          <w:sz w:val="24"/>
          <w:szCs w:val="24"/>
        </w:rPr>
        <w:t xml:space="preserve"> derivado</w:t>
      </w:r>
      <w:r w:rsidR="00A44727" w:rsidRPr="002F30A9">
        <w:rPr>
          <w:rFonts w:ascii="Arial" w:hAnsi="Arial" w:cs="Arial"/>
          <w:sz w:val="24"/>
          <w:szCs w:val="24"/>
        </w:rPr>
        <w:t xml:space="preserve"> de la volatilida</w:t>
      </w:r>
      <w:r w:rsidR="006F70CA">
        <w:rPr>
          <w:rFonts w:ascii="Arial" w:hAnsi="Arial" w:cs="Arial"/>
          <w:sz w:val="24"/>
          <w:szCs w:val="24"/>
        </w:rPr>
        <w:t xml:space="preserve">d en los mercados financieros y </w:t>
      </w:r>
      <w:r w:rsidR="00A44727" w:rsidRPr="002F30A9">
        <w:rPr>
          <w:rFonts w:ascii="Arial" w:hAnsi="Arial" w:cs="Arial"/>
          <w:sz w:val="24"/>
          <w:szCs w:val="24"/>
        </w:rPr>
        <w:t>las determinadas por la Reserva Federal (FED) de los Estados Unidos de América y los consecuentes aumentos en las tasas de interés nacionales.</w:t>
      </w:r>
    </w:p>
    <w:p w:rsidR="00A44727" w:rsidRPr="002F30A9" w:rsidRDefault="006F70CA" w:rsidP="006F70CA">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b) </w:t>
      </w:r>
      <w:r w:rsidR="00A44727" w:rsidRPr="002F30A9">
        <w:rPr>
          <w:rFonts w:ascii="Arial" w:hAnsi="Arial" w:cs="Arial"/>
          <w:sz w:val="24"/>
          <w:szCs w:val="24"/>
        </w:rPr>
        <w:t>Por requerimientos de recursos adicionales para la atención prioritaria de desastres naturales.</w:t>
      </w:r>
    </w:p>
    <w:p w:rsidR="00A44727" w:rsidRPr="002F30A9" w:rsidRDefault="006F70CA" w:rsidP="006F70CA">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c) </w:t>
      </w:r>
      <w:r w:rsidR="00A44727" w:rsidRPr="002F30A9">
        <w:rPr>
          <w:rFonts w:ascii="Arial" w:hAnsi="Arial" w:cs="Arial"/>
          <w:sz w:val="24"/>
          <w:szCs w:val="24"/>
        </w:rPr>
        <w:t xml:space="preserve">Por potencial degradación de la calificación crediticia de México, de los </w:t>
      </w:r>
      <w:r>
        <w:rPr>
          <w:rFonts w:ascii="Arial" w:hAnsi="Arial" w:cs="Arial"/>
          <w:sz w:val="24"/>
          <w:szCs w:val="24"/>
        </w:rPr>
        <w:t>e</w:t>
      </w:r>
      <w:r w:rsidR="00A44727" w:rsidRPr="002F30A9">
        <w:rPr>
          <w:rFonts w:ascii="Arial" w:hAnsi="Arial" w:cs="Arial"/>
          <w:sz w:val="24"/>
          <w:szCs w:val="24"/>
        </w:rPr>
        <w:t>stados</w:t>
      </w:r>
      <w:r>
        <w:rPr>
          <w:rFonts w:ascii="Arial" w:hAnsi="Arial" w:cs="Arial"/>
          <w:sz w:val="24"/>
          <w:szCs w:val="24"/>
        </w:rPr>
        <w:t xml:space="preserve"> </w:t>
      </w:r>
      <w:r w:rsidR="00A44727" w:rsidRPr="002F30A9">
        <w:rPr>
          <w:rFonts w:ascii="Arial" w:hAnsi="Arial" w:cs="Arial"/>
          <w:sz w:val="24"/>
          <w:szCs w:val="24"/>
        </w:rPr>
        <w:t xml:space="preserve">o </w:t>
      </w:r>
      <w:r>
        <w:rPr>
          <w:rFonts w:ascii="Arial" w:hAnsi="Arial" w:cs="Arial"/>
          <w:sz w:val="24"/>
          <w:szCs w:val="24"/>
        </w:rPr>
        <w:t>m</w:t>
      </w:r>
      <w:r w:rsidR="00A44727" w:rsidRPr="002F30A9">
        <w:rPr>
          <w:rFonts w:ascii="Arial" w:hAnsi="Arial" w:cs="Arial"/>
          <w:sz w:val="24"/>
          <w:szCs w:val="24"/>
        </w:rPr>
        <w:t>unicipios</w:t>
      </w:r>
      <w:r>
        <w:rPr>
          <w:rFonts w:ascii="Arial" w:hAnsi="Arial" w:cs="Arial"/>
          <w:sz w:val="24"/>
          <w:szCs w:val="24"/>
        </w:rPr>
        <w:t xml:space="preserve">, derivada del crecimiento del nivel del </w:t>
      </w:r>
      <w:r w:rsidRPr="006F70CA">
        <w:rPr>
          <w:rFonts w:ascii="Arial" w:hAnsi="Arial" w:cs="Arial"/>
          <w:i/>
          <w:sz w:val="24"/>
          <w:szCs w:val="24"/>
        </w:rPr>
        <w:t xml:space="preserve">riesgo </w:t>
      </w:r>
      <w:r w:rsidR="00A44727" w:rsidRPr="006F70CA">
        <w:rPr>
          <w:rFonts w:ascii="Arial" w:hAnsi="Arial" w:cs="Arial"/>
          <w:i/>
          <w:sz w:val="24"/>
          <w:szCs w:val="24"/>
        </w:rPr>
        <w:t>país</w:t>
      </w:r>
      <w:r w:rsidR="00A44727" w:rsidRPr="002F30A9">
        <w:rPr>
          <w:rFonts w:ascii="Arial" w:hAnsi="Arial" w:cs="Arial"/>
          <w:sz w:val="24"/>
          <w:szCs w:val="24"/>
        </w:rPr>
        <w:t>, así como</w:t>
      </w:r>
      <w:r>
        <w:rPr>
          <w:rFonts w:ascii="Arial" w:hAnsi="Arial" w:cs="Arial"/>
          <w:sz w:val="24"/>
          <w:szCs w:val="24"/>
        </w:rPr>
        <w:t xml:space="preserve"> el incremento de</w:t>
      </w:r>
      <w:r w:rsidR="00A44727" w:rsidRPr="002F30A9">
        <w:rPr>
          <w:rFonts w:ascii="Arial" w:hAnsi="Arial" w:cs="Arial"/>
          <w:sz w:val="24"/>
          <w:szCs w:val="24"/>
        </w:rPr>
        <w:t xml:space="preserve"> tasas y encarecimiento de la deuda.</w:t>
      </w:r>
    </w:p>
    <w:p w:rsidR="00A44727" w:rsidRPr="006F70CA" w:rsidRDefault="00A44727" w:rsidP="002F30A9">
      <w:pPr>
        <w:spacing w:before="100" w:beforeAutospacing="1" w:after="100" w:afterAutospacing="1" w:line="240" w:lineRule="auto"/>
        <w:jc w:val="both"/>
        <w:rPr>
          <w:rFonts w:ascii="Arial" w:hAnsi="Arial" w:cs="Arial"/>
          <w:i/>
          <w:sz w:val="24"/>
          <w:szCs w:val="24"/>
        </w:rPr>
      </w:pPr>
      <w:r w:rsidRPr="006F70CA">
        <w:rPr>
          <w:rFonts w:ascii="Arial" w:hAnsi="Arial" w:cs="Arial"/>
          <w:i/>
          <w:sz w:val="24"/>
          <w:szCs w:val="24"/>
        </w:rPr>
        <w:t xml:space="preserve">Acciones para enfrentar los riesgos de incremento en </w:t>
      </w:r>
      <w:r w:rsidR="006F70CA" w:rsidRPr="006F70CA">
        <w:rPr>
          <w:rFonts w:ascii="Arial" w:hAnsi="Arial" w:cs="Arial"/>
          <w:i/>
          <w:sz w:val="24"/>
          <w:szCs w:val="24"/>
        </w:rPr>
        <w:t>g</w:t>
      </w:r>
      <w:r w:rsidRPr="006F70CA">
        <w:rPr>
          <w:rFonts w:ascii="Arial" w:hAnsi="Arial" w:cs="Arial"/>
          <w:i/>
          <w:sz w:val="24"/>
          <w:szCs w:val="24"/>
        </w:rPr>
        <w:t>astos</w:t>
      </w:r>
    </w:p>
    <w:p w:rsidR="00A44727" w:rsidRPr="002F30A9" w:rsidRDefault="00A44727" w:rsidP="002F30A9">
      <w:pPr>
        <w:spacing w:before="100" w:beforeAutospacing="1" w:after="100" w:afterAutospacing="1" w:line="240" w:lineRule="auto"/>
        <w:jc w:val="both"/>
        <w:rPr>
          <w:rFonts w:ascii="Arial" w:hAnsi="Arial" w:cs="Arial"/>
          <w:sz w:val="24"/>
          <w:szCs w:val="24"/>
        </w:rPr>
      </w:pPr>
      <w:r w:rsidRPr="002F30A9">
        <w:rPr>
          <w:rFonts w:ascii="Arial" w:hAnsi="Arial" w:cs="Arial"/>
          <w:sz w:val="24"/>
          <w:szCs w:val="24"/>
        </w:rPr>
        <w:t>Al respecto, las acciones que se plantean para enfrentar los riesgo</w:t>
      </w:r>
      <w:r w:rsidR="00342081">
        <w:rPr>
          <w:rFonts w:ascii="Arial" w:hAnsi="Arial" w:cs="Arial"/>
          <w:sz w:val="24"/>
          <w:szCs w:val="24"/>
        </w:rPr>
        <w:t>s de incremento en gastos son la</w:t>
      </w:r>
      <w:r w:rsidRPr="002F30A9">
        <w:rPr>
          <w:rFonts w:ascii="Arial" w:hAnsi="Arial" w:cs="Arial"/>
          <w:sz w:val="24"/>
          <w:szCs w:val="24"/>
        </w:rPr>
        <w:t>s siguientes:</w:t>
      </w:r>
    </w:p>
    <w:p w:rsidR="00A44727" w:rsidRPr="002F30A9" w:rsidRDefault="00342081" w:rsidP="00342081">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a) En </w:t>
      </w:r>
      <w:r w:rsidR="00A44727" w:rsidRPr="002F30A9">
        <w:rPr>
          <w:rFonts w:ascii="Arial" w:hAnsi="Arial" w:cs="Arial"/>
          <w:sz w:val="24"/>
          <w:szCs w:val="24"/>
        </w:rPr>
        <w:t>caso de alzas de interés:</w:t>
      </w:r>
    </w:p>
    <w:p w:rsidR="00A44727" w:rsidRPr="002F30A9" w:rsidRDefault="00342081" w:rsidP="00342081">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1. Se</w:t>
      </w:r>
      <w:r w:rsidR="00A44727" w:rsidRPr="002F30A9">
        <w:rPr>
          <w:rFonts w:ascii="Arial" w:hAnsi="Arial" w:cs="Arial"/>
          <w:sz w:val="24"/>
          <w:szCs w:val="24"/>
        </w:rPr>
        <w:t xml:space="preserve"> evaluará la mejor opción para las coberturas de</w:t>
      </w:r>
      <w:r>
        <w:rPr>
          <w:rFonts w:ascii="Arial" w:hAnsi="Arial" w:cs="Arial"/>
          <w:sz w:val="24"/>
          <w:szCs w:val="24"/>
        </w:rPr>
        <w:t xml:space="preserve"> las</w:t>
      </w:r>
      <w:r w:rsidR="00A44727" w:rsidRPr="002F30A9">
        <w:rPr>
          <w:rFonts w:ascii="Arial" w:hAnsi="Arial" w:cs="Arial"/>
          <w:sz w:val="24"/>
          <w:szCs w:val="24"/>
        </w:rPr>
        <w:t xml:space="preserve"> tasa</w:t>
      </w:r>
      <w:r>
        <w:rPr>
          <w:rFonts w:ascii="Arial" w:hAnsi="Arial" w:cs="Arial"/>
          <w:sz w:val="24"/>
          <w:szCs w:val="24"/>
        </w:rPr>
        <w:t>s</w:t>
      </w:r>
      <w:r w:rsidR="00A44727" w:rsidRPr="002F30A9">
        <w:rPr>
          <w:rFonts w:ascii="Arial" w:hAnsi="Arial" w:cs="Arial"/>
          <w:sz w:val="24"/>
          <w:szCs w:val="24"/>
        </w:rPr>
        <w:t xml:space="preserve"> de interés </w:t>
      </w:r>
      <w:r>
        <w:rPr>
          <w:rFonts w:ascii="Arial" w:hAnsi="Arial" w:cs="Arial"/>
          <w:sz w:val="24"/>
          <w:szCs w:val="24"/>
        </w:rPr>
        <w:t>de</w:t>
      </w:r>
      <w:r w:rsidR="00A44727" w:rsidRPr="002F30A9">
        <w:rPr>
          <w:rFonts w:ascii="Arial" w:hAnsi="Arial" w:cs="Arial"/>
          <w:sz w:val="24"/>
          <w:szCs w:val="24"/>
        </w:rPr>
        <w:t xml:space="preserve"> los créditos suscritos a tasa variable, lo que reduce el impacto derivado de </w:t>
      </w:r>
      <w:r>
        <w:rPr>
          <w:rFonts w:ascii="Arial" w:hAnsi="Arial" w:cs="Arial"/>
          <w:sz w:val="24"/>
          <w:szCs w:val="24"/>
        </w:rPr>
        <w:t xml:space="preserve">los </w:t>
      </w:r>
      <w:r w:rsidR="00A44727" w:rsidRPr="002F30A9">
        <w:rPr>
          <w:rFonts w:ascii="Arial" w:hAnsi="Arial" w:cs="Arial"/>
          <w:sz w:val="24"/>
          <w:szCs w:val="24"/>
        </w:rPr>
        <w:t>incrementos.</w:t>
      </w:r>
    </w:p>
    <w:p w:rsidR="00A44727" w:rsidRPr="002F30A9" w:rsidRDefault="00342081" w:rsidP="00342081">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 xml:space="preserve">b) </w:t>
      </w:r>
      <w:r w:rsidR="00A44727" w:rsidRPr="002F30A9">
        <w:rPr>
          <w:rFonts w:ascii="Arial" w:hAnsi="Arial" w:cs="Arial"/>
          <w:sz w:val="24"/>
          <w:szCs w:val="24"/>
        </w:rPr>
        <w:t xml:space="preserve">En caso de riesgos causados por fenómenos naturales </w:t>
      </w:r>
      <w:r>
        <w:rPr>
          <w:rFonts w:ascii="Arial" w:hAnsi="Arial" w:cs="Arial"/>
          <w:sz w:val="24"/>
          <w:szCs w:val="24"/>
        </w:rPr>
        <w:t xml:space="preserve">se </w:t>
      </w:r>
      <w:r w:rsidR="00A44727" w:rsidRPr="002F30A9">
        <w:rPr>
          <w:rFonts w:ascii="Arial" w:hAnsi="Arial" w:cs="Arial"/>
          <w:sz w:val="24"/>
          <w:szCs w:val="24"/>
        </w:rPr>
        <w:t>tomar</w:t>
      </w:r>
      <w:r>
        <w:rPr>
          <w:rFonts w:ascii="Arial" w:hAnsi="Arial" w:cs="Arial"/>
          <w:sz w:val="24"/>
          <w:szCs w:val="24"/>
        </w:rPr>
        <w:t>án</w:t>
      </w:r>
      <w:r w:rsidR="00A44727" w:rsidRPr="002F30A9">
        <w:rPr>
          <w:rFonts w:ascii="Arial" w:hAnsi="Arial" w:cs="Arial"/>
          <w:sz w:val="24"/>
          <w:szCs w:val="24"/>
        </w:rPr>
        <w:t xml:space="preserve"> las siguientes medidas:</w:t>
      </w:r>
    </w:p>
    <w:p w:rsidR="00A44727" w:rsidRDefault="00342081"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1. S</w:t>
      </w:r>
      <w:r w:rsidRPr="002F30A9">
        <w:rPr>
          <w:rFonts w:ascii="Arial" w:hAnsi="Arial" w:cs="Arial"/>
          <w:sz w:val="24"/>
          <w:szCs w:val="24"/>
        </w:rPr>
        <w:t>e utiliza</w:t>
      </w:r>
      <w:r>
        <w:rPr>
          <w:rFonts w:ascii="Arial" w:hAnsi="Arial" w:cs="Arial"/>
          <w:sz w:val="24"/>
          <w:szCs w:val="24"/>
        </w:rPr>
        <w:t>rá de forma pri</w:t>
      </w:r>
      <w:r w:rsidRPr="002F30A9">
        <w:rPr>
          <w:rFonts w:ascii="Arial" w:hAnsi="Arial" w:cs="Arial"/>
          <w:sz w:val="24"/>
          <w:szCs w:val="24"/>
        </w:rPr>
        <w:t>oritaria</w:t>
      </w:r>
      <w:r>
        <w:rPr>
          <w:rFonts w:ascii="Arial" w:hAnsi="Arial" w:cs="Arial"/>
          <w:sz w:val="24"/>
          <w:szCs w:val="24"/>
        </w:rPr>
        <w:t xml:space="preserve"> el</w:t>
      </w:r>
      <w:r w:rsidRPr="002F30A9">
        <w:rPr>
          <w:rFonts w:ascii="Arial" w:hAnsi="Arial" w:cs="Arial"/>
          <w:sz w:val="24"/>
          <w:szCs w:val="24"/>
        </w:rPr>
        <w:t xml:space="preserve"> Fondo para la Atención de Desastres Naturales (FAED)</w:t>
      </w:r>
      <w:r w:rsidR="00EF30FB">
        <w:rPr>
          <w:rFonts w:ascii="Arial" w:hAnsi="Arial" w:cs="Arial"/>
          <w:sz w:val="24"/>
          <w:szCs w:val="24"/>
        </w:rPr>
        <w:t>,</w:t>
      </w:r>
      <w:r>
        <w:rPr>
          <w:rFonts w:ascii="Arial" w:hAnsi="Arial" w:cs="Arial"/>
          <w:sz w:val="24"/>
          <w:szCs w:val="24"/>
        </w:rPr>
        <w:t xml:space="preserve"> </w:t>
      </w:r>
      <w:r w:rsidR="00A44727" w:rsidRPr="002F30A9">
        <w:rPr>
          <w:rFonts w:ascii="Arial" w:hAnsi="Arial" w:cs="Arial"/>
          <w:sz w:val="24"/>
          <w:szCs w:val="24"/>
        </w:rPr>
        <w:t>para realizar las primeras acciones de auxilio a la población</w:t>
      </w:r>
      <w:r>
        <w:rPr>
          <w:rFonts w:ascii="Arial" w:hAnsi="Arial" w:cs="Arial"/>
          <w:sz w:val="24"/>
          <w:szCs w:val="24"/>
        </w:rPr>
        <w:t>.</w:t>
      </w:r>
    </w:p>
    <w:p w:rsidR="00A44727" w:rsidRDefault="009B5727"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2. Se utilizarán</w:t>
      </w:r>
      <w:r w:rsidR="00A44727" w:rsidRPr="002F30A9">
        <w:rPr>
          <w:rFonts w:ascii="Arial" w:hAnsi="Arial" w:cs="Arial"/>
          <w:sz w:val="24"/>
          <w:szCs w:val="24"/>
        </w:rPr>
        <w:t xml:space="preserve"> </w:t>
      </w:r>
      <w:r>
        <w:rPr>
          <w:rFonts w:ascii="Arial" w:hAnsi="Arial" w:cs="Arial"/>
          <w:sz w:val="24"/>
          <w:szCs w:val="24"/>
        </w:rPr>
        <w:t>los</w:t>
      </w:r>
      <w:r w:rsidR="00A44727" w:rsidRPr="002F30A9">
        <w:rPr>
          <w:rFonts w:ascii="Arial" w:hAnsi="Arial" w:cs="Arial"/>
          <w:sz w:val="24"/>
          <w:szCs w:val="24"/>
        </w:rPr>
        <w:t xml:space="preserve"> seguros de cobertura para sinie</w:t>
      </w:r>
      <w:r>
        <w:rPr>
          <w:rFonts w:ascii="Arial" w:hAnsi="Arial" w:cs="Arial"/>
          <w:sz w:val="24"/>
          <w:szCs w:val="24"/>
        </w:rPr>
        <w:t>stros en el sector agropecuario que se han suscrito.</w:t>
      </w:r>
    </w:p>
    <w:p w:rsidR="00A44727" w:rsidRDefault="009B5727"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t xml:space="preserve">3. </w:t>
      </w:r>
      <w:r w:rsidR="00A44727" w:rsidRPr="002F30A9">
        <w:rPr>
          <w:rFonts w:ascii="Arial" w:hAnsi="Arial" w:cs="Arial"/>
          <w:sz w:val="24"/>
          <w:szCs w:val="24"/>
        </w:rPr>
        <w:t>Se solicitar</w:t>
      </w:r>
      <w:r>
        <w:rPr>
          <w:rFonts w:ascii="Arial" w:hAnsi="Arial" w:cs="Arial"/>
          <w:sz w:val="24"/>
          <w:szCs w:val="24"/>
        </w:rPr>
        <w:t>án</w:t>
      </w:r>
      <w:r w:rsidR="00A44727" w:rsidRPr="002F30A9">
        <w:rPr>
          <w:rFonts w:ascii="Arial" w:hAnsi="Arial" w:cs="Arial"/>
          <w:sz w:val="24"/>
          <w:szCs w:val="24"/>
        </w:rPr>
        <w:t xml:space="preserve"> los recursos del Fondo </w:t>
      </w:r>
      <w:r>
        <w:rPr>
          <w:rFonts w:ascii="Arial" w:hAnsi="Arial" w:cs="Arial"/>
          <w:sz w:val="24"/>
          <w:szCs w:val="24"/>
        </w:rPr>
        <w:t xml:space="preserve">Nacional </w:t>
      </w:r>
      <w:r w:rsidR="00A44727" w:rsidRPr="002F30A9">
        <w:rPr>
          <w:rFonts w:ascii="Arial" w:hAnsi="Arial" w:cs="Arial"/>
          <w:sz w:val="24"/>
          <w:szCs w:val="24"/>
        </w:rPr>
        <w:t>de Desastres Naturales (F</w:t>
      </w:r>
      <w:r>
        <w:rPr>
          <w:rFonts w:ascii="Arial" w:hAnsi="Arial" w:cs="Arial"/>
          <w:sz w:val="24"/>
          <w:szCs w:val="24"/>
        </w:rPr>
        <w:t>ONDEN</w:t>
      </w:r>
      <w:r w:rsidR="00A44727" w:rsidRPr="002F30A9">
        <w:rPr>
          <w:rFonts w:ascii="Arial" w:hAnsi="Arial" w:cs="Arial"/>
          <w:sz w:val="24"/>
          <w:szCs w:val="24"/>
        </w:rPr>
        <w:t>) y en su caso</w:t>
      </w:r>
      <w:r>
        <w:rPr>
          <w:rFonts w:ascii="Arial" w:hAnsi="Arial" w:cs="Arial"/>
          <w:sz w:val="24"/>
          <w:szCs w:val="24"/>
        </w:rPr>
        <w:t>,</w:t>
      </w:r>
      <w:r w:rsidR="00A44727" w:rsidRPr="002F30A9">
        <w:rPr>
          <w:rFonts w:ascii="Arial" w:hAnsi="Arial" w:cs="Arial"/>
          <w:sz w:val="24"/>
          <w:szCs w:val="24"/>
        </w:rPr>
        <w:t xml:space="preserve"> los</w:t>
      </w:r>
      <w:r>
        <w:rPr>
          <w:rFonts w:ascii="Arial" w:hAnsi="Arial" w:cs="Arial"/>
          <w:sz w:val="24"/>
          <w:szCs w:val="24"/>
        </w:rPr>
        <w:t xml:space="preserve"> recursos de los</w:t>
      </w:r>
      <w:r w:rsidR="00A44727" w:rsidRPr="002F30A9">
        <w:rPr>
          <w:rFonts w:ascii="Arial" w:hAnsi="Arial" w:cs="Arial"/>
          <w:sz w:val="24"/>
          <w:szCs w:val="24"/>
        </w:rPr>
        <w:t xml:space="preserve"> demás fondos de cobertura suscritos por el </w:t>
      </w:r>
      <w:r>
        <w:rPr>
          <w:rFonts w:ascii="Arial" w:hAnsi="Arial" w:cs="Arial"/>
          <w:sz w:val="24"/>
          <w:szCs w:val="24"/>
        </w:rPr>
        <w:t>gobierno f</w:t>
      </w:r>
      <w:r w:rsidR="00A44727" w:rsidRPr="002F30A9">
        <w:rPr>
          <w:rFonts w:ascii="Arial" w:hAnsi="Arial" w:cs="Arial"/>
          <w:sz w:val="24"/>
          <w:szCs w:val="24"/>
        </w:rPr>
        <w:t>ederal.</w:t>
      </w:r>
    </w:p>
    <w:p w:rsidR="00A44727" w:rsidRPr="002F30A9" w:rsidRDefault="009B5727" w:rsidP="009B5727">
      <w:pPr>
        <w:spacing w:before="100" w:beforeAutospacing="1" w:after="100" w:afterAutospacing="1" w:line="240" w:lineRule="auto"/>
        <w:ind w:left="709" w:firstLine="709"/>
        <w:jc w:val="both"/>
        <w:rPr>
          <w:rFonts w:ascii="Arial" w:hAnsi="Arial" w:cs="Arial"/>
          <w:sz w:val="24"/>
          <w:szCs w:val="24"/>
        </w:rPr>
      </w:pPr>
      <w:r>
        <w:rPr>
          <w:rFonts w:ascii="Arial" w:hAnsi="Arial" w:cs="Arial"/>
          <w:sz w:val="24"/>
          <w:szCs w:val="24"/>
        </w:rPr>
        <w:lastRenderedPageBreak/>
        <w:t xml:space="preserve">4. </w:t>
      </w:r>
      <w:r w:rsidR="00A44727" w:rsidRPr="002F30A9">
        <w:rPr>
          <w:rFonts w:ascii="Arial" w:hAnsi="Arial" w:cs="Arial"/>
          <w:sz w:val="24"/>
          <w:szCs w:val="24"/>
        </w:rPr>
        <w:t>De manera excepcional, tal como lo establece el artículo 6 de la Ley de Disciplina Financiera de la</w:t>
      </w:r>
      <w:r w:rsidR="00087231">
        <w:rPr>
          <w:rFonts w:ascii="Arial" w:hAnsi="Arial" w:cs="Arial"/>
          <w:sz w:val="24"/>
          <w:szCs w:val="24"/>
        </w:rPr>
        <w:t>s</w:t>
      </w:r>
      <w:r w:rsidR="00A44727" w:rsidRPr="002F30A9">
        <w:rPr>
          <w:rFonts w:ascii="Arial" w:hAnsi="Arial" w:cs="Arial"/>
          <w:sz w:val="24"/>
          <w:szCs w:val="24"/>
        </w:rPr>
        <w:t xml:space="preserve"> Entidades Federativa</w:t>
      </w:r>
      <w:r w:rsidR="001E0730">
        <w:rPr>
          <w:rFonts w:ascii="Arial" w:hAnsi="Arial" w:cs="Arial"/>
          <w:sz w:val="24"/>
          <w:szCs w:val="24"/>
        </w:rPr>
        <w:t>s y los Municipios se solicitará</w:t>
      </w:r>
      <w:r w:rsidR="00A44727" w:rsidRPr="002F30A9">
        <w:rPr>
          <w:rFonts w:ascii="Arial" w:hAnsi="Arial" w:cs="Arial"/>
          <w:sz w:val="24"/>
          <w:szCs w:val="24"/>
        </w:rPr>
        <w:t xml:space="preserve"> autorización al Congreso para la justificación de un balance presupuestario</w:t>
      </w:r>
      <w:r w:rsidR="001E0730">
        <w:rPr>
          <w:rFonts w:ascii="Arial" w:hAnsi="Arial" w:cs="Arial"/>
          <w:sz w:val="24"/>
          <w:szCs w:val="24"/>
        </w:rPr>
        <w:t xml:space="preserve"> de recursos disponibles</w:t>
      </w:r>
      <w:r w:rsidR="00EF30FB">
        <w:rPr>
          <w:rFonts w:ascii="Arial" w:hAnsi="Arial" w:cs="Arial"/>
          <w:sz w:val="24"/>
          <w:szCs w:val="24"/>
        </w:rPr>
        <w:t xml:space="preserve"> negativo.</w:t>
      </w:r>
    </w:p>
    <w:p w:rsidR="00773FD3" w:rsidRDefault="00773FD3" w:rsidP="00773FD3">
      <w:pPr>
        <w:pStyle w:val="Prrafodelista"/>
        <w:spacing w:before="100" w:beforeAutospacing="1" w:after="100" w:afterAutospacing="1" w:line="240" w:lineRule="auto"/>
        <w:ind w:left="0"/>
        <w:jc w:val="both"/>
        <w:rPr>
          <w:rFonts w:ascii="Arial" w:hAnsi="Arial" w:cs="Arial"/>
          <w:b/>
          <w:sz w:val="24"/>
          <w:szCs w:val="24"/>
        </w:rPr>
      </w:pPr>
      <w:r>
        <w:rPr>
          <w:rFonts w:ascii="Arial" w:hAnsi="Arial" w:cs="Arial"/>
          <w:b/>
          <w:sz w:val="24"/>
          <w:szCs w:val="24"/>
        </w:rPr>
        <w:t xml:space="preserve">V. </w:t>
      </w:r>
      <w:r w:rsidRPr="00773FD3">
        <w:rPr>
          <w:rFonts w:ascii="Arial" w:hAnsi="Arial" w:cs="Arial"/>
          <w:b/>
          <w:sz w:val="24"/>
          <w:szCs w:val="24"/>
        </w:rPr>
        <w:t>Resultados de las finanzas públicas por un período de cinco años</w:t>
      </w:r>
    </w:p>
    <w:p w:rsidR="0056755F" w:rsidRPr="006517E1" w:rsidRDefault="0056755F" w:rsidP="0056755F">
      <w:pPr>
        <w:spacing w:before="100" w:beforeAutospacing="1" w:after="100" w:afterAutospacing="1" w:line="240" w:lineRule="auto"/>
        <w:jc w:val="both"/>
        <w:rPr>
          <w:rFonts w:ascii="Arial" w:hAnsi="Arial" w:cs="Arial"/>
          <w:sz w:val="24"/>
          <w:szCs w:val="24"/>
        </w:rPr>
      </w:pPr>
      <w:r w:rsidRPr="006517E1">
        <w:rPr>
          <w:rFonts w:ascii="Arial" w:hAnsi="Arial" w:cs="Arial"/>
          <w:sz w:val="24"/>
          <w:szCs w:val="24"/>
        </w:rPr>
        <w:t>A fin de cumplir con lo establecido en el artículo 5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w:t>
      </w:r>
      <w:r w:rsidR="00087231">
        <w:rPr>
          <w:rFonts w:ascii="Arial" w:hAnsi="Arial" w:cs="Arial"/>
          <w:sz w:val="24"/>
          <w:szCs w:val="24"/>
        </w:rPr>
        <w:t>n</w:t>
      </w:r>
      <w:r w:rsidRPr="006517E1">
        <w:rPr>
          <w:rFonts w:ascii="Arial" w:hAnsi="Arial" w:cs="Arial"/>
          <w:sz w:val="24"/>
          <w:szCs w:val="24"/>
        </w:rPr>
        <w:t xml:space="preserve"> l</w:t>
      </w:r>
      <w:r w:rsidR="00087231">
        <w:rPr>
          <w:rFonts w:ascii="Arial" w:hAnsi="Arial" w:cs="Arial"/>
          <w:sz w:val="24"/>
          <w:szCs w:val="24"/>
        </w:rPr>
        <w:t>os resultados de las finanzas públicas por un periodo de</w:t>
      </w:r>
      <w:r>
        <w:rPr>
          <w:rFonts w:ascii="Arial" w:hAnsi="Arial" w:cs="Arial"/>
          <w:sz w:val="24"/>
          <w:szCs w:val="24"/>
        </w:rPr>
        <w:t xml:space="preserve"> cinco años (a</w:t>
      </w:r>
      <w:r w:rsidRPr="006517E1">
        <w:rPr>
          <w:rFonts w:ascii="Arial" w:hAnsi="Arial" w:cs="Arial"/>
          <w:sz w:val="24"/>
          <w:szCs w:val="24"/>
        </w:rPr>
        <w:t>nexo I</w:t>
      </w:r>
      <w:r w:rsidR="005928B7">
        <w:rPr>
          <w:rFonts w:ascii="Arial" w:hAnsi="Arial" w:cs="Arial"/>
          <w:sz w:val="24"/>
          <w:szCs w:val="24"/>
        </w:rPr>
        <w:t>I</w:t>
      </w:r>
      <w:r w:rsidRPr="006517E1">
        <w:rPr>
          <w:rFonts w:ascii="Arial" w:hAnsi="Arial" w:cs="Arial"/>
          <w:sz w:val="24"/>
          <w:szCs w:val="24"/>
        </w:rPr>
        <w:t>).</w:t>
      </w:r>
    </w:p>
    <w:p w:rsidR="00773FD3" w:rsidRPr="00773FD3" w:rsidRDefault="00773FD3" w:rsidP="00773FD3">
      <w:pPr>
        <w:jc w:val="both"/>
        <w:rPr>
          <w:rFonts w:ascii="Arial" w:eastAsia="Calibri" w:hAnsi="Arial" w:cs="Arial"/>
          <w:b/>
          <w:sz w:val="24"/>
          <w:szCs w:val="24"/>
        </w:rPr>
      </w:pPr>
      <w:r>
        <w:rPr>
          <w:rFonts w:ascii="Arial" w:hAnsi="Arial" w:cs="Arial"/>
          <w:b/>
        </w:rPr>
        <w:t xml:space="preserve">VI. </w:t>
      </w:r>
      <w:r w:rsidRPr="00E03B8F">
        <w:rPr>
          <w:rFonts w:ascii="Arial" w:eastAsia="Calibri" w:hAnsi="Arial" w:cs="Arial"/>
          <w:b/>
          <w:sz w:val="24"/>
          <w:szCs w:val="24"/>
        </w:rPr>
        <w:t>Estimación de los ingresos correspondientes al cierre del ejercicio 2018</w:t>
      </w:r>
    </w:p>
    <w:p w:rsidR="005928B7" w:rsidRDefault="00773FD3" w:rsidP="005928B7">
      <w:pPr>
        <w:spacing w:before="100" w:beforeAutospacing="1" w:after="100" w:afterAutospacing="1" w:line="240" w:lineRule="auto"/>
        <w:jc w:val="both"/>
        <w:rPr>
          <w:rFonts w:ascii="Arial" w:hAnsi="Arial"/>
          <w:sz w:val="24"/>
        </w:rPr>
      </w:pPr>
      <w:r w:rsidRPr="00773FD3">
        <w:rPr>
          <w:rFonts w:ascii="Arial" w:hAnsi="Arial" w:cs="Arial"/>
          <w:sz w:val="24"/>
          <w:szCs w:val="24"/>
        </w:rPr>
        <w:t xml:space="preserve">De </w:t>
      </w:r>
      <w:r w:rsidR="0056755F">
        <w:rPr>
          <w:rFonts w:ascii="Arial" w:hAnsi="Arial" w:cs="Arial"/>
          <w:sz w:val="24"/>
          <w:szCs w:val="24"/>
        </w:rPr>
        <w:t xml:space="preserve">acuerdo con </w:t>
      </w:r>
      <w:r w:rsidRPr="00773FD3">
        <w:rPr>
          <w:rFonts w:ascii="Arial" w:hAnsi="Arial" w:cs="Arial"/>
          <w:sz w:val="24"/>
          <w:szCs w:val="24"/>
        </w:rPr>
        <w:t>la estimación de los ingresos</w:t>
      </w:r>
      <w:r w:rsidR="005928B7">
        <w:rPr>
          <w:rFonts w:ascii="Arial" w:hAnsi="Arial" w:cs="Arial"/>
          <w:sz w:val="24"/>
          <w:szCs w:val="24"/>
        </w:rPr>
        <w:t xml:space="preserve"> correspondientes del ejercicio 2018,</w:t>
      </w:r>
      <w:r w:rsidRPr="00773FD3">
        <w:rPr>
          <w:rFonts w:ascii="Arial" w:hAnsi="Arial" w:cs="Arial"/>
          <w:sz w:val="24"/>
          <w:szCs w:val="24"/>
        </w:rPr>
        <w:t xml:space="preserve"> que se obtengan directamente por fuentes de carácter estatal, así como por la transferencia de recursos provenientes del </w:t>
      </w:r>
      <w:r>
        <w:rPr>
          <w:rFonts w:ascii="Arial" w:hAnsi="Arial" w:cs="Arial"/>
          <w:sz w:val="24"/>
          <w:szCs w:val="24"/>
        </w:rPr>
        <w:t>g</w:t>
      </w:r>
      <w:r w:rsidRPr="00773FD3">
        <w:rPr>
          <w:rFonts w:ascii="Arial" w:hAnsi="Arial" w:cs="Arial"/>
          <w:sz w:val="24"/>
          <w:szCs w:val="24"/>
        </w:rPr>
        <w:t xml:space="preserve">obierno </w:t>
      </w:r>
      <w:r>
        <w:rPr>
          <w:rFonts w:ascii="Arial" w:hAnsi="Arial" w:cs="Arial"/>
          <w:sz w:val="24"/>
          <w:szCs w:val="24"/>
        </w:rPr>
        <w:t>f</w:t>
      </w:r>
      <w:r w:rsidRPr="00773FD3">
        <w:rPr>
          <w:rFonts w:ascii="Arial" w:hAnsi="Arial" w:cs="Arial"/>
          <w:sz w:val="24"/>
          <w:szCs w:val="24"/>
        </w:rPr>
        <w:t xml:space="preserve">ederal para el </w:t>
      </w:r>
      <w:r w:rsidR="005928B7">
        <w:rPr>
          <w:rFonts w:ascii="Arial" w:hAnsi="Arial" w:cs="Arial"/>
          <w:sz w:val="24"/>
          <w:szCs w:val="24"/>
        </w:rPr>
        <w:t xml:space="preserve">próximo ejercicio, </w:t>
      </w:r>
      <w:r w:rsidRPr="00773FD3">
        <w:rPr>
          <w:rFonts w:ascii="Arial" w:hAnsi="Arial" w:cs="Arial"/>
          <w:sz w:val="24"/>
          <w:szCs w:val="24"/>
        </w:rPr>
        <w:t>se estima que</w:t>
      </w:r>
      <w:r>
        <w:rPr>
          <w:rFonts w:ascii="Arial" w:hAnsi="Arial" w:cs="Arial"/>
          <w:sz w:val="24"/>
          <w:szCs w:val="24"/>
        </w:rPr>
        <w:t xml:space="preserve"> los ingresos consolidados del G</w:t>
      </w:r>
      <w:r w:rsidRPr="00773FD3">
        <w:rPr>
          <w:rFonts w:ascii="Arial" w:hAnsi="Arial" w:cs="Arial"/>
          <w:sz w:val="24"/>
          <w:szCs w:val="24"/>
        </w:rPr>
        <w:t xml:space="preserve">obierno del </w:t>
      </w:r>
      <w:r w:rsidR="00771149">
        <w:rPr>
          <w:rFonts w:ascii="Arial" w:hAnsi="Arial" w:cs="Arial"/>
          <w:sz w:val="24"/>
          <w:szCs w:val="24"/>
        </w:rPr>
        <w:t>E</w:t>
      </w:r>
      <w:r w:rsidRPr="00773FD3">
        <w:rPr>
          <w:rFonts w:ascii="Arial" w:hAnsi="Arial" w:cs="Arial"/>
          <w:sz w:val="24"/>
          <w:szCs w:val="24"/>
        </w:rPr>
        <w:t xml:space="preserve">stado de </w:t>
      </w:r>
      <w:r w:rsidRPr="00771149">
        <w:rPr>
          <w:rFonts w:ascii="Arial" w:hAnsi="Arial" w:cs="Arial"/>
          <w:sz w:val="24"/>
          <w:szCs w:val="24"/>
        </w:rPr>
        <w:t>Yucatán para el ejercicio fiscal 2018</w:t>
      </w:r>
      <w:r w:rsidR="005928B7" w:rsidRPr="00771149">
        <w:rPr>
          <w:rFonts w:ascii="Arial" w:hAnsi="Arial" w:cs="Arial"/>
          <w:sz w:val="24"/>
          <w:szCs w:val="24"/>
        </w:rPr>
        <w:t xml:space="preserve">, </w:t>
      </w:r>
      <w:r w:rsidR="005928B7" w:rsidRPr="00771149">
        <w:rPr>
          <w:rFonts w:ascii="Arial" w:hAnsi="Arial"/>
          <w:sz w:val="24"/>
        </w:rPr>
        <w:t xml:space="preserve">se ubican en </w:t>
      </w:r>
      <w:r w:rsidR="005928B7" w:rsidRPr="00771149">
        <w:rPr>
          <w:rFonts w:ascii="Arial" w:hAnsi="Arial" w:cs="Arial"/>
        </w:rPr>
        <w:t>$41,</w:t>
      </w:r>
      <w:r w:rsidR="00771149" w:rsidRPr="00771149">
        <w:rPr>
          <w:rFonts w:ascii="Arial" w:hAnsi="Arial" w:cs="Arial"/>
        </w:rPr>
        <w:t>577,488</w:t>
      </w:r>
      <w:r w:rsidR="00E03B8F">
        <w:rPr>
          <w:rFonts w:ascii="Arial" w:hAnsi="Arial" w:cs="Arial"/>
        </w:rPr>
        <w:t>,</w:t>
      </w:r>
      <w:r w:rsidR="00771149" w:rsidRPr="00771149">
        <w:rPr>
          <w:rFonts w:ascii="Arial" w:hAnsi="Arial" w:cs="Arial"/>
        </w:rPr>
        <w:t>546</w:t>
      </w:r>
      <w:r w:rsidR="00E03B8F">
        <w:rPr>
          <w:rFonts w:ascii="Arial" w:hAnsi="Arial" w:cs="Arial"/>
        </w:rPr>
        <w:t>.00</w:t>
      </w:r>
      <w:r w:rsidR="005928B7" w:rsidRPr="00771149">
        <w:rPr>
          <w:rFonts w:ascii="Arial" w:hAnsi="Arial"/>
          <w:sz w:val="24"/>
        </w:rPr>
        <w:t xml:space="preserve"> de los cuales, $</w:t>
      </w:r>
      <w:r w:rsidR="00771149" w:rsidRPr="00771149">
        <w:rPr>
          <w:rFonts w:ascii="Arial" w:hAnsi="Arial"/>
          <w:sz w:val="24"/>
        </w:rPr>
        <w:t>4,539,861,877.00</w:t>
      </w:r>
      <w:r w:rsidR="005928B7" w:rsidRPr="00771149">
        <w:rPr>
          <w:rFonts w:ascii="Arial" w:hAnsi="Arial"/>
          <w:sz w:val="24"/>
        </w:rPr>
        <w:t xml:space="preserve"> corresponden a ingresos del </w:t>
      </w:r>
      <w:r w:rsidR="005928B7" w:rsidRPr="00771149">
        <w:rPr>
          <w:rFonts w:ascii="Arial" w:hAnsi="Arial" w:cs="Arial"/>
          <w:sz w:val="24"/>
          <w:szCs w:val="24"/>
        </w:rPr>
        <w:t>gobierno estatal</w:t>
      </w:r>
      <w:r w:rsidR="005928B7" w:rsidRPr="00771149">
        <w:rPr>
          <w:rFonts w:ascii="Arial" w:hAnsi="Arial"/>
          <w:sz w:val="24"/>
        </w:rPr>
        <w:t xml:space="preserve"> y $3,126</w:t>
      </w:r>
      <w:r w:rsidR="00771149" w:rsidRPr="00771149">
        <w:rPr>
          <w:rFonts w:ascii="Arial" w:hAnsi="Arial"/>
          <w:sz w:val="24"/>
        </w:rPr>
        <w:t>,559,657.00</w:t>
      </w:r>
      <w:r w:rsidR="005928B7" w:rsidRPr="00771149">
        <w:rPr>
          <w:rFonts w:ascii="Arial" w:hAnsi="Arial"/>
          <w:sz w:val="24"/>
        </w:rPr>
        <w:t xml:space="preserve"> a ingresos de </w:t>
      </w:r>
      <w:r w:rsidR="005928B7" w:rsidRPr="00771149">
        <w:rPr>
          <w:rFonts w:ascii="Arial" w:hAnsi="Arial" w:cs="Arial"/>
          <w:sz w:val="24"/>
          <w:szCs w:val="24"/>
        </w:rPr>
        <w:t>organismos</w:t>
      </w:r>
      <w:r w:rsidR="005928B7" w:rsidRPr="00771149">
        <w:rPr>
          <w:rFonts w:ascii="Arial" w:hAnsi="Arial"/>
          <w:sz w:val="24"/>
        </w:rPr>
        <w:t xml:space="preserve"> y </w:t>
      </w:r>
      <w:r w:rsidR="005928B7" w:rsidRPr="00771149">
        <w:rPr>
          <w:rFonts w:ascii="Arial" w:hAnsi="Arial" w:cs="Arial"/>
          <w:sz w:val="24"/>
          <w:szCs w:val="24"/>
        </w:rPr>
        <w:t>empresas</w:t>
      </w:r>
      <w:r w:rsidR="005928B7" w:rsidRPr="00771149">
        <w:rPr>
          <w:rFonts w:ascii="Arial" w:hAnsi="Arial"/>
          <w:sz w:val="24"/>
        </w:rPr>
        <w:t>.</w:t>
      </w:r>
    </w:p>
    <w:p w:rsidR="005928B7" w:rsidRPr="0029658D" w:rsidRDefault="005928B7" w:rsidP="005928B7">
      <w:pPr>
        <w:spacing w:before="100" w:beforeAutospacing="1" w:after="100" w:afterAutospacing="1" w:line="240" w:lineRule="auto"/>
        <w:jc w:val="both"/>
        <w:rPr>
          <w:rFonts w:ascii="Arial" w:hAnsi="Arial"/>
          <w:sz w:val="24"/>
        </w:rPr>
      </w:pPr>
      <w:r w:rsidRPr="0081650F">
        <w:rPr>
          <w:rFonts w:ascii="Arial" w:hAnsi="Arial"/>
          <w:sz w:val="24"/>
        </w:rPr>
        <w:t xml:space="preserve">Al respecto, el desglose de los ingresos del </w:t>
      </w:r>
      <w:r w:rsidRPr="0081650F">
        <w:rPr>
          <w:rFonts w:ascii="Arial" w:hAnsi="Arial" w:cs="Arial"/>
          <w:sz w:val="24"/>
          <w:szCs w:val="24"/>
        </w:rPr>
        <w:t>gobierno estatal</w:t>
      </w:r>
      <w:r w:rsidRPr="0081650F">
        <w:rPr>
          <w:rFonts w:ascii="Arial" w:hAnsi="Arial"/>
          <w:sz w:val="24"/>
        </w:rPr>
        <w:t xml:space="preserve"> es el siguiente: $1,892</w:t>
      </w:r>
      <w:r w:rsidR="0081650F" w:rsidRPr="0081650F">
        <w:rPr>
          <w:rFonts w:ascii="Arial" w:hAnsi="Arial"/>
          <w:sz w:val="24"/>
        </w:rPr>
        <w:t>,776,555</w:t>
      </w:r>
      <w:r w:rsidRPr="0081650F">
        <w:rPr>
          <w:rFonts w:ascii="Arial" w:hAnsi="Arial"/>
          <w:sz w:val="24"/>
        </w:rPr>
        <w:t>.</w:t>
      </w:r>
      <w:r w:rsidR="0081650F" w:rsidRPr="0081650F">
        <w:rPr>
          <w:rFonts w:ascii="Arial" w:hAnsi="Arial"/>
          <w:sz w:val="24"/>
        </w:rPr>
        <w:t>00</w:t>
      </w:r>
      <w:r w:rsidRPr="0081650F">
        <w:rPr>
          <w:rFonts w:ascii="Arial" w:hAnsi="Arial"/>
          <w:sz w:val="24"/>
        </w:rPr>
        <w:t xml:space="preserve"> serán captados a través de impuestos; $999</w:t>
      </w:r>
      <w:r w:rsidR="0081650F" w:rsidRPr="0081650F">
        <w:rPr>
          <w:rFonts w:ascii="Arial" w:hAnsi="Arial"/>
          <w:sz w:val="24"/>
        </w:rPr>
        <w:t>,287,552.00</w:t>
      </w:r>
      <w:r w:rsidRPr="0081650F">
        <w:rPr>
          <w:rFonts w:ascii="Arial" w:hAnsi="Arial"/>
          <w:sz w:val="24"/>
        </w:rPr>
        <w:t xml:space="preserve"> corresponden a derechos; $936</w:t>
      </w:r>
      <w:r w:rsidR="0081650F" w:rsidRPr="0081650F">
        <w:rPr>
          <w:rFonts w:ascii="Arial" w:hAnsi="Arial"/>
          <w:sz w:val="24"/>
        </w:rPr>
        <w:t>,987,469.00</w:t>
      </w:r>
      <w:r w:rsidRPr="0081650F">
        <w:rPr>
          <w:rFonts w:ascii="Arial" w:hAnsi="Arial"/>
          <w:sz w:val="24"/>
        </w:rPr>
        <w:t xml:space="preserve"> a productos; $710</w:t>
      </w:r>
      <w:r w:rsidR="0081650F" w:rsidRPr="0081650F">
        <w:rPr>
          <w:rFonts w:ascii="Arial" w:hAnsi="Arial"/>
          <w:sz w:val="24"/>
        </w:rPr>
        <w:t>,810,332.00</w:t>
      </w:r>
      <w:r w:rsidRPr="0081650F">
        <w:rPr>
          <w:rFonts w:ascii="Arial" w:hAnsi="Arial"/>
          <w:sz w:val="24"/>
        </w:rPr>
        <w:t xml:space="preserve"> a los aprovechamientos; $32,019</w:t>
      </w:r>
      <w:r w:rsidR="0081650F" w:rsidRPr="0081650F">
        <w:rPr>
          <w:rFonts w:ascii="Arial" w:hAnsi="Arial"/>
          <w:sz w:val="24"/>
        </w:rPr>
        <w:t>,509,191</w:t>
      </w:r>
      <w:r w:rsidRPr="0081650F">
        <w:rPr>
          <w:rFonts w:ascii="Arial" w:hAnsi="Arial"/>
          <w:sz w:val="24"/>
        </w:rPr>
        <w:t>.</w:t>
      </w:r>
      <w:r w:rsidR="0081650F" w:rsidRPr="0081650F">
        <w:rPr>
          <w:rFonts w:ascii="Arial" w:hAnsi="Arial"/>
          <w:sz w:val="24"/>
        </w:rPr>
        <w:t>00</w:t>
      </w:r>
      <w:r w:rsidRPr="0081650F">
        <w:rPr>
          <w:rFonts w:ascii="Arial" w:hAnsi="Arial"/>
          <w:sz w:val="24"/>
        </w:rPr>
        <w:t xml:space="preserve"> a participaciones, aportaciones, convenios e incentivos; y, $1,891</w:t>
      </w:r>
      <w:r w:rsidR="0081650F" w:rsidRPr="0081650F">
        <w:rPr>
          <w:rFonts w:ascii="Arial" w:hAnsi="Arial"/>
          <w:sz w:val="24"/>
        </w:rPr>
        <w:t>,557,821</w:t>
      </w:r>
      <w:r w:rsidRPr="0081650F">
        <w:rPr>
          <w:rFonts w:ascii="Arial" w:hAnsi="Arial"/>
          <w:sz w:val="24"/>
        </w:rPr>
        <w:t>.</w:t>
      </w:r>
      <w:r w:rsidR="0081650F" w:rsidRPr="0081650F">
        <w:rPr>
          <w:rFonts w:ascii="Arial" w:hAnsi="Arial"/>
          <w:sz w:val="24"/>
        </w:rPr>
        <w:t>00</w:t>
      </w:r>
      <w:r w:rsidRPr="0081650F">
        <w:rPr>
          <w:rFonts w:ascii="Arial" w:hAnsi="Arial"/>
          <w:sz w:val="24"/>
        </w:rPr>
        <w:t xml:space="preserve"> a transferencias, asignaciones, subsidios y otras ayudas.</w:t>
      </w:r>
    </w:p>
    <w:p w:rsidR="00773FD3" w:rsidRPr="00BC4D80" w:rsidRDefault="00BC4D80" w:rsidP="00BC4D80">
      <w:pPr>
        <w:spacing w:before="100" w:beforeAutospacing="1" w:after="100" w:afterAutospacing="1" w:line="240" w:lineRule="auto"/>
        <w:jc w:val="both"/>
        <w:rPr>
          <w:rFonts w:ascii="Arial" w:hAnsi="Arial" w:cs="Arial"/>
          <w:b/>
          <w:sz w:val="24"/>
          <w:szCs w:val="24"/>
        </w:rPr>
      </w:pPr>
      <w:r w:rsidRPr="00BC4D80">
        <w:rPr>
          <w:rFonts w:ascii="Arial" w:hAnsi="Arial" w:cs="Arial"/>
          <w:b/>
          <w:sz w:val="24"/>
          <w:szCs w:val="24"/>
        </w:rPr>
        <w:t xml:space="preserve">VII. </w:t>
      </w:r>
      <w:r w:rsidR="00773FD3" w:rsidRPr="00E03B8F">
        <w:rPr>
          <w:rFonts w:ascii="Arial" w:hAnsi="Arial" w:cs="Arial"/>
          <w:b/>
          <w:sz w:val="24"/>
          <w:szCs w:val="24"/>
        </w:rPr>
        <w:t>Estimación de los ingresos correspondientes para el ejercicio fiscal 2019</w:t>
      </w:r>
    </w:p>
    <w:p w:rsidR="009414F1" w:rsidRPr="009461FC" w:rsidRDefault="00773FD3" w:rsidP="009414F1">
      <w:pPr>
        <w:spacing w:before="100" w:beforeAutospacing="1" w:after="100" w:afterAutospacing="1" w:line="240" w:lineRule="auto"/>
        <w:jc w:val="both"/>
        <w:rPr>
          <w:rFonts w:ascii="Arial" w:hAnsi="Arial" w:cs="Arial"/>
          <w:sz w:val="24"/>
        </w:rPr>
      </w:pPr>
      <w:r w:rsidRPr="00BC4D80">
        <w:rPr>
          <w:rFonts w:ascii="Arial" w:hAnsi="Arial" w:cs="Arial"/>
          <w:sz w:val="24"/>
          <w:szCs w:val="24"/>
        </w:rPr>
        <w:t xml:space="preserve">De acuerdo </w:t>
      </w:r>
      <w:r w:rsidR="00BC4D80">
        <w:rPr>
          <w:rFonts w:ascii="Arial" w:hAnsi="Arial" w:cs="Arial"/>
          <w:sz w:val="24"/>
          <w:szCs w:val="24"/>
        </w:rPr>
        <w:t>con</w:t>
      </w:r>
      <w:r w:rsidRPr="00BC4D80">
        <w:rPr>
          <w:rFonts w:ascii="Arial" w:hAnsi="Arial" w:cs="Arial"/>
          <w:sz w:val="24"/>
          <w:szCs w:val="24"/>
        </w:rPr>
        <w:t xml:space="preserve"> la estimación de los ingresos que se obtengan directamente </w:t>
      </w:r>
      <w:r w:rsidR="00DE754C">
        <w:rPr>
          <w:rFonts w:ascii="Arial" w:hAnsi="Arial" w:cs="Arial"/>
          <w:sz w:val="24"/>
          <w:szCs w:val="24"/>
        </w:rPr>
        <w:t>por fuentes de carácter estatal</w:t>
      </w:r>
      <w:r w:rsidRPr="00BC4D80">
        <w:rPr>
          <w:rFonts w:ascii="Arial" w:hAnsi="Arial" w:cs="Arial"/>
          <w:sz w:val="24"/>
          <w:szCs w:val="24"/>
        </w:rPr>
        <w:t xml:space="preserve"> así como por la transferenci</w:t>
      </w:r>
      <w:r w:rsidR="00BC4D80">
        <w:rPr>
          <w:rFonts w:ascii="Arial" w:hAnsi="Arial" w:cs="Arial"/>
          <w:sz w:val="24"/>
          <w:szCs w:val="24"/>
        </w:rPr>
        <w:t>a de recursos provenientes del g</w:t>
      </w:r>
      <w:r w:rsidRPr="00BC4D80">
        <w:rPr>
          <w:rFonts w:ascii="Arial" w:hAnsi="Arial" w:cs="Arial"/>
          <w:sz w:val="24"/>
          <w:szCs w:val="24"/>
        </w:rPr>
        <w:t xml:space="preserve">obierno </w:t>
      </w:r>
      <w:r w:rsidR="00BC4D80">
        <w:rPr>
          <w:rFonts w:ascii="Arial" w:hAnsi="Arial" w:cs="Arial"/>
          <w:sz w:val="24"/>
          <w:szCs w:val="24"/>
        </w:rPr>
        <w:t>f</w:t>
      </w:r>
      <w:r w:rsidRPr="00BC4D80">
        <w:rPr>
          <w:rFonts w:ascii="Arial" w:hAnsi="Arial" w:cs="Arial"/>
          <w:sz w:val="24"/>
          <w:szCs w:val="24"/>
        </w:rPr>
        <w:t xml:space="preserve">ederal para el </w:t>
      </w:r>
      <w:r w:rsidR="00BC4D80">
        <w:rPr>
          <w:rFonts w:ascii="Arial" w:hAnsi="Arial" w:cs="Arial"/>
          <w:sz w:val="24"/>
          <w:szCs w:val="24"/>
        </w:rPr>
        <w:t>próximo ejercicio</w:t>
      </w:r>
      <w:r w:rsidRPr="00BC4D80">
        <w:rPr>
          <w:rFonts w:ascii="Arial" w:hAnsi="Arial" w:cs="Arial"/>
          <w:sz w:val="24"/>
          <w:szCs w:val="24"/>
        </w:rPr>
        <w:t>, se estima que los ingresos consolidados del Gobierno del Estado de Yucatán para el ejercicio fiscal 2019,</w:t>
      </w:r>
      <w:r w:rsidR="009414F1" w:rsidRPr="009414F1">
        <w:rPr>
          <w:rFonts w:ascii="Arial" w:hAnsi="Arial" w:cs="Arial"/>
          <w:sz w:val="24"/>
        </w:rPr>
        <w:t xml:space="preserve"> </w:t>
      </w:r>
      <w:r w:rsidR="009414F1" w:rsidRPr="009461FC">
        <w:rPr>
          <w:rFonts w:ascii="Arial" w:hAnsi="Arial" w:cs="Arial"/>
          <w:sz w:val="24"/>
        </w:rPr>
        <w:t xml:space="preserve">se ubican en </w:t>
      </w:r>
      <w:r w:rsidR="009414F1" w:rsidRPr="009461FC">
        <w:rPr>
          <w:rFonts w:ascii="Arial" w:hAnsi="Arial" w:cs="Arial"/>
        </w:rPr>
        <w:t>$</w:t>
      </w:r>
      <w:r w:rsidR="009414F1" w:rsidRPr="009461FC">
        <w:rPr>
          <w:rFonts w:ascii="Arial" w:hAnsi="Arial" w:cs="Arial"/>
          <w:sz w:val="24"/>
        </w:rPr>
        <w:t>40,590,008,664.00 de los cuales</w:t>
      </w:r>
      <w:r w:rsidR="009414F1" w:rsidRPr="00E03B8F">
        <w:rPr>
          <w:rFonts w:ascii="Arial" w:hAnsi="Arial" w:cs="Arial"/>
          <w:sz w:val="24"/>
        </w:rPr>
        <w:t>, $37,463,449,007.00</w:t>
      </w:r>
      <w:r w:rsidR="009414F1" w:rsidRPr="009461FC">
        <w:rPr>
          <w:rFonts w:ascii="Arial" w:hAnsi="Arial" w:cs="Arial"/>
          <w:sz w:val="24"/>
        </w:rPr>
        <w:t xml:space="preserve"> corresponden a ingresos del </w:t>
      </w:r>
      <w:r w:rsidR="009414F1" w:rsidRPr="009461FC">
        <w:rPr>
          <w:rFonts w:ascii="Arial" w:hAnsi="Arial" w:cs="Arial"/>
          <w:sz w:val="24"/>
          <w:szCs w:val="24"/>
        </w:rPr>
        <w:t>gobierno estatal</w:t>
      </w:r>
      <w:r w:rsidR="009414F1" w:rsidRPr="009461FC">
        <w:rPr>
          <w:rFonts w:ascii="Arial" w:hAnsi="Arial" w:cs="Arial"/>
          <w:sz w:val="24"/>
        </w:rPr>
        <w:t xml:space="preserve"> y $3,126,559,657.00</w:t>
      </w:r>
      <w:r w:rsidR="009414F1" w:rsidRPr="009461FC">
        <w:rPr>
          <w:rFonts w:ascii="Arial" w:hAnsi="Arial" w:cs="Arial"/>
          <w:sz w:val="24"/>
          <w:szCs w:val="24"/>
        </w:rPr>
        <w:t xml:space="preserve"> </w:t>
      </w:r>
      <w:r w:rsidR="009414F1" w:rsidRPr="009461FC">
        <w:rPr>
          <w:rFonts w:ascii="Arial" w:hAnsi="Arial" w:cs="Arial"/>
          <w:sz w:val="24"/>
        </w:rPr>
        <w:t xml:space="preserve">a ingresos de </w:t>
      </w:r>
      <w:r w:rsidR="009414F1" w:rsidRPr="009461FC">
        <w:rPr>
          <w:rFonts w:ascii="Arial" w:hAnsi="Arial" w:cs="Arial"/>
          <w:sz w:val="24"/>
          <w:szCs w:val="24"/>
        </w:rPr>
        <w:t>organismos</w:t>
      </w:r>
      <w:r w:rsidR="009414F1" w:rsidRPr="009461FC">
        <w:rPr>
          <w:rFonts w:ascii="Arial" w:hAnsi="Arial" w:cs="Arial"/>
          <w:sz w:val="24"/>
        </w:rPr>
        <w:t xml:space="preserve"> y </w:t>
      </w:r>
      <w:r w:rsidR="009414F1" w:rsidRPr="009461FC">
        <w:rPr>
          <w:rFonts w:ascii="Arial" w:hAnsi="Arial" w:cs="Arial"/>
          <w:sz w:val="24"/>
          <w:szCs w:val="24"/>
        </w:rPr>
        <w:t>empresas</w:t>
      </w:r>
      <w:r w:rsidR="009414F1" w:rsidRPr="009461FC">
        <w:rPr>
          <w:rFonts w:ascii="Arial" w:hAnsi="Arial" w:cs="Arial"/>
          <w:sz w:val="24"/>
        </w:rPr>
        <w:t>.</w:t>
      </w:r>
    </w:p>
    <w:p w:rsidR="009414F1" w:rsidRPr="009461FC" w:rsidRDefault="009414F1" w:rsidP="009414F1">
      <w:pPr>
        <w:spacing w:before="100" w:beforeAutospacing="1" w:after="100" w:afterAutospacing="1" w:line="240" w:lineRule="auto"/>
        <w:jc w:val="both"/>
        <w:rPr>
          <w:rFonts w:ascii="Arial" w:hAnsi="Arial" w:cs="Arial"/>
          <w:sz w:val="24"/>
        </w:rPr>
      </w:pPr>
      <w:r w:rsidRPr="009461FC">
        <w:rPr>
          <w:rFonts w:ascii="Arial" w:hAnsi="Arial" w:cs="Arial"/>
          <w:sz w:val="24"/>
        </w:rPr>
        <w:lastRenderedPageBreak/>
        <w:t xml:space="preserve">Al respecto, el desglose de los ingresos del </w:t>
      </w:r>
      <w:r w:rsidRPr="009461FC">
        <w:rPr>
          <w:rFonts w:ascii="Arial" w:hAnsi="Arial" w:cs="Arial"/>
          <w:sz w:val="24"/>
          <w:szCs w:val="24"/>
        </w:rPr>
        <w:t>gobierno estatal</w:t>
      </w:r>
      <w:r w:rsidRPr="009461FC">
        <w:rPr>
          <w:rFonts w:ascii="Arial" w:hAnsi="Arial" w:cs="Arial"/>
          <w:sz w:val="24"/>
        </w:rPr>
        <w:t xml:space="preserve"> es el siguiente: $2,083,</w:t>
      </w:r>
      <w:r w:rsidR="0047799A">
        <w:rPr>
          <w:rFonts w:ascii="Arial" w:hAnsi="Arial" w:cs="Arial"/>
          <w:sz w:val="24"/>
        </w:rPr>
        <w:t>701</w:t>
      </w:r>
      <w:r w:rsidRPr="009461FC">
        <w:rPr>
          <w:rFonts w:ascii="Arial" w:hAnsi="Arial" w:cs="Arial"/>
          <w:sz w:val="24"/>
        </w:rPr>
        <w:t>,</w:t>
      </w:r>
      <w:r w:rsidR="0047799A">
        <w:rPr>
          <w:rFonts w:ascii="Arial" w:hAnsi="Arial" w:cs="Arial"/>
          <w:sz w:val="24"/>
        </w:rPr>
        <w:t>944</w:t>
      </w:r>
      <w:r w:rsidRPr="009461FC">
        <w:rPr>
          <w:rFonts w:ascii="Arial" w:hAnsi="Arial" w:cs="Arial"/>
          <w:sz w:val="24"/>
        </w:rPr>
        <w:t>.00</w:t>
      </w:r>
      <w:r w:rsidRPr="009461FC">
        <w:rPr>
          <w:rFonts w:ascii="Arial" w:hAnsi="Arial" w:cs="Arial"/>
          <w:sz w:val="24"/>
          <w:szCs w:val="24"/>
        </w:rPr>
        <w:t xml:space="preserve"> </w:t>
      </w:r>
      <w:r w:rsidRPr="009461FC">
        <w:rPr>
          <w:rFonts w:ascii="Arial" w:hAnsi="Arial" w:cs="Arial"/>
          <w:sz w:val="24"/>
        </w:rPr>
        <w:t>serán captados a través de impuestos; $1,353,895,149.00 corresponden a derechos; $259,434,828.00 a productos; $86,935,965.00 a los aprovechamientos; $31,773,897,240.00 a participaciones, aportaciones, convenios e incentivos; y, $1,905,583,881.00 a transferencias, asignaciones, subsidios y otras ayudas.</w:t>
      </w:r>
    </w:p>
    <w:p w:rsidR="009414F1" w:rsidRPr="009461FC" w:rsidRDefault="009414F1" w:rsidP="009414F1">
      <w:pPr>
        <w:spacing w:before="100" w:beforeAutospacing="1" w:after="100" w:afterAutospacing="1" w:line="240" w:lineRule="auto"/>
        <w:jc w:val="both"/>
        <w:rPr>
          <w:rFonts w:ascii="Arial" w:hAnsi="Arial" w:cs="Arial"/>
          <w:sz w:val="24"/>
        </w:rPr>
      </w:pPr>
      <w:r w:rsidRPr="009461FC">
        <w:rPr>
          <w:rFonts w:ascii="Arial" w:hAnsi="Arial" w:cs="Arial"/>
          <w:sz w:val="24"/>
        </w:rPr>
        <w:t xml:space="preserve">En cuanto a los conceptos que integran los ingresos de </w:t>
      </w:r>
      <w:r w:rsidRPr="009461FC">
        <w:rPr>
          <w:rFonts w:ascii="Arial" w:hAnsi="Arial" w:cs="Arial"/>
          <w:sz w:val="24"/>
          <w:szCs w:val="24"/>
        </w:rPr>
        <w:t>organismos</w:t>
      </w:r>
      <w:r w:rsidRPr="009461FC">
        <w:rPr>
          <w:rFonts w:ascii="Arial" w:hAnsi="Arial" w:cs="Arial"/>
          <w:sz w:val="24"/>
        </w:rPr>
        <w:t xml:space="preserve"> y </w:t>
      </w:r>
      <w:r w:rsidRPr="009461FC">
        <w:rPr>
          <w:rFonts w:ascii="Arial" w:hAnsi="Arial" w:cs="Arial"/>
          <w:sz w:val="24"/>
          <w:szCs w:val="24"/>
        </w:rPr>
        <w:t>empresas</w:t>
      </w:r>
      <w:r w:rsidRPr="009461FC">
        <w:rPr>
          <w:rFonts w:ascii="Arial" w:hAnsi="Arial" w:cs="Arial"/>
          <w:sz w:val="24"/>
        </w:rPr>
        <w:t xml:space="preserve"> son los siguientes: $1,026,632,941.00 de cuotas y aportaciones de seguridad social y, $2,099,926,716.00 de ingresos por venta de bienes, prestación de servicios y otros ingresos</w:t>
      </w:r>
      <w:r w:rsidRPr="009461FC">
        <w:rPr>
          <w:rFonts w:ascii="Arial" w:hAnsi="Arial" w:cs="Arial"/>
          <w:sz w:val="24"/>
          <w:szCs w:val="24"/>
        </w:rPr>
        <w:t>.</w:t>
      </w:r>
    </w:p>
    <w:p w:rsidR="00773FD3" w:rsidRPr="00BC4D80" w:rsidRDefault="00DE754C"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La obtención de</w:t>
      </w:r>
      <w:r w:rsidR="008E19CF">
        <w:rPr>
          <w:rFonts w:ascii="Arial" w:hAnsi="Arial" w:cs="Arial"/>
          <w:sz w:val="24"/>
          <w:szCs w:val="24"/>
        </w:rPr>
        <w:t xml:space="preserve"> estos </w:t>
      </w:r>
      <w:r>
        <w:rPr>
          <w:rFonts w:ascii="Arial" w:hAnsi="Arial" w:cs="Arial"/>
          <w:sz w:val="24"/>
          <w:szCs w:val="24"/>
        </w:rPr>
        <w:t xml:space="preserve">ingresos se realiza con fundamento en </w:t>
      </w:r>
      <w:r w:rsidR="00773FD3" w:rsidRPr="00BC4D80">
        <w:rPr>
          <w:rFonts w:ascii="Arial" w:hAnsi="Arial" w:cs="Arial"/>
          <w:sz w:val="24"/>
          <w:szCs w:val="24"/>
        </w:rPr>
        <w:t>l</w:t>
      </w:r>
      <w:r>
        <w:rPr>
          <w:rFonts w:ascii="Arial" w:hAnsi="Arial" w:cs="Arial"/>
          <w:sz w:val="24"/>
          <w:szCs w:val="24"/>
        </w:rPr>
        <w:t>os</w:t>
      </w:r>
      <w:r w:rsidR="00773FD3" w:rsidRPr="00BC4D80">
        <w:rPr>
          <w:rFonts w:ascii="Arial" w:hAnsi="Arial" w:cs="Arial"/>
          <w:sz w:val="24"/>
          <w:szCs w:val="24"/>
        </w:rPr>
        <w:t xml:space="preserve"> artículo</w:t>
      </w:r>
      <w:r>
        <w:rPr>
          <w:rFonts w:ascii="Arial" w:hAnsi="Arial" w:cs="Arial"/>
          <w:sz w:val="24"/>
          <w:szCs w:val="24"/>
        </w:rPr>
        <w:t>s</w:t>
      </w:r>
      <w:r w:rsidR="00773FD3" w:rsidRPr="00BC4D80">
        <w:rPr>
          <w:rFonts w:ascii="Arial" w:hAnsi="Arial" w:cs="Arial"/>
          <w:sz w:val="24"/>
          <w:szCs w:val="24"/>
        </w:rPr>
        <w:t xml:space="preserve"> 31, fracción IV, de la Constitución Política </w:t>
      </w:r>
      <w:r>
        <w:rPr>
          <w:rFonts w:ascii="Arial" w:hAnsi="Arial" w:cs="Arial"/>
          <w:sz w:val="24"/>
          <w:szCs w:val="24"/>
        </w:rPr>
        <w:t>de los Estados Unidos Mexicanos y</w:t>
      </w:r>
      <w:r w:rsidR="00A15C1C">
        <w:rPr>
          <w:rFonts w:ascii="Arial" w:hAnsi="Arial" w:cs="Arial"/>
          <w:sz w:val="24"/>
          <w:szCs w:val="24"/>
        </w:rPr>
        <w:t xml:space="preserve"> 3, fracción I</w:t>
      </w:r>
      <w:r w:rsidR="00773FD3" w:rsidRPr="00BC4D80">
        <w:rPr>
          <w:rFonts w:ascii="Arial" w:hAnsi="Arial" w:cs="Arial"/>
          <w:sz w:val="24"/>
          <w:szCs w:val="24"/>
        </w:rPr>
        <w:t xml:space="preserve">I, de la Constitución del Estado de Yucatán, </w:t>
      </w:r>
      <w:r>
        <w:rPr>
          <w:rFonts w:ascii="Arial" w:hAnsi="Arial" w:cs="Arial"/>
          <w:sz w:val="24"/>
          <w:szCs w:val="24"/>
        </w:rPr>
        <w:t xml:space="preserve">que </w:t>
      </w:r>
      <w:r w:rsidR="006A7F45">
        <w:rPr>
          <w:rFonts w:ascii="Arial" w:hAnsi="Arial" w:cs="Arial"/>
          <w:sz w:val="24"/>
          <w:szCs w:val="24"/>
        </w:rPr>
        <w:t>establecen acerca de</w:t>
      </w:r>
      <w:r>
        <w:rPr>
          <w:rFonts w:ascii="Arial" w:hAnsi="Arial" w:cs="Arial"/>
          <w:sz w:val="24"/>
          <w:szCs w:val="24"/>
        </w:rPr>
        <w:t xml:space="preserve"> la obligación de los mexicanos de</w:t>
      </w:r>
      <w:r w:rsidR="00773FD3" w:rsidRPr="00BC4D80">
        <w:rPr>
          <w:rFonts w:ascii="Arial" w:hAnsi="Arial" w:cs="Arial"/>
          <w:sz w:val="24"/>
          <w:szCs w:val="24"/>
        </w:rPr>
        <w:t xml:space="preserve"> contribuir para los gastos públicos</w:t>
      </w:r>
      <w:r w:rsidR="006A7F45">
        <w:rPr>
          <w:rFonts w:ascii="Arial" w:hAnsi="Arial" w:cs="Arial"/>
          <w:sz w:val="24"/>
          <w:szCs w:val="24"/>
        </w:rPr>
        <w:t xml:space="preserve"> de la federación, del estado y del municipio en que residan, de la</w:t>
      </w:r>
      <w:r w:rsidR="00773FD3" w:rsidRPr="00BC4D80">
        <w:rPr>
          <w:rFonts w:ascii="Arial" w:hAnsi="Arial" w:cs="Arial"/>
          <w:sz w:val="24"/>
          <w:szCs w:val="24"/>
        </w:rPr>
        <w:t xml:space="preserve"> manera proporcional y equitativa que</w:t>
      </w:r>
      <w:r w:rsidR="006A7F45">
        <w:rPr>
          <w:rFonts w:ascii="Arial" w:hAnsi="Arial" w:cs="Arial"/>
          <w:sz w:val="24"/>
          <w:szCs w:val="24"/>
        </w:rPr>
        <w:t xml:space="preserve"> dispongan las leyes</w:t>
      </w:r>
      <w:r w:rsidR="00A15C1C">
        <w:rPr>
          <w:rFonts w:ascii="Arial" w:hAnsi="Arial" w:cs="Arial"/>
          <w:sz w:val="24"/>
          <w:szCs w:val="24"/>
        </w:rPr>
        <w:t xml:space="preserve"> que establezcan contribuciones</w:t>
      </w:r>
      <w:r w:rsidR="00773FD3" w:rsidRPr="00BC4D80">
        <w:rPr>
          <w:rFonts w:ascii="Arial" w:hAnsi="Arial" w:cs="Arial"/>
          <w:sz w:val="24"/>
          <w:szCs w:val="24"/>
        </w:rPr>
        <w:t xml:space="preserve">. </w:t>
      </w:r>
    </w:p>
    <w:p w:rsidR="00773FD3" w:rsidRPr="00A15C1C" w:rsidRDefault="00773FD3" w:rsidP="00A15C1C">
      <w:pPr>
        <w:spacing w:before="100" w:beforeAutospacing="1" w:after="100" w:afterAutospacing="1" w:line="240" w:lineRule="auto"/>
        <w:jc w:val="both"/>
        <w:rPr>
          <w:rFonts w:ascii="Arial" w:hAnsi="Arial" w:cs="Arial"/>
          <w:i/>
          <w:sz w:val="24"/>
          <w:szCs w:val="24"/>
        </w:rPr>
      </w:pPr>
      <w:r w:rsidRPr="00A15C1C">
        <w:rPr>
          <w:rFonts w:ascii="Arial" w:hAnsi="Arial" w:cs="Arial"/>
          <w:i/>
          <w:sz w:val="24"/>
          <w:szCs w:val="24"/>
        </w:rPr>
        <w:t>Clasificación de los ingresos</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La integración y presentación de los ingresos estimados para el ejercicio fiscal 2</w:t>
      </w:r>
      <w:r w:rsidR="00A15C1C">
        <w:rPr>
          <w:rFonts w:ascii="Arial" w:hAnsi="Arial" w:cs="Arial"/>
          <w:sz w:val="24"/>
          <w:szCs w:val="24"/>
        </w:rPr>
        <w:t>019</w:t>
      </w:r>
      <w:r w:rsidRPr="00BC4D80">
        <w:rPr>
          <w:rFonts w:ascii="Arial" w:hAnsi="Arial" w:cs="Arial"/>
          <w:sz w:val="24"/>
          <w:szCs w:val="24"/>
        </w:rPr>
        <w:t xml:space="preserve"> se presenta conforme a lo establecido en el “Clasi</w:t>
      </w:r>
      <w:r w:rsidR="00A15C1C">
        <w:rPr>
          <w:rFonts w:ascii="Arial" w:hAnsi="Arial" w:cs="Arial"/>
          <w:sz w:val="24"/>
          <w:szCs w:val="24"/>
        </w:rPr>
        <w:t>ficador por Rubros de Ingresos”</w:t>
      </w:r>
      <w:r w:rsidRPr="00BC4D80">
        <w:rPr>
          <w:rFonts w:ascii="Arial" w:hAnsi="Arial" w:cs="Arial"/>
          <w:sz w:val="24"/>
          <w:szCs w:val="24"/>
        </w:rPr>
        <w:t xml:space="preserve"> emitido por el CONAC. Cabe resaltar que la Ley de Ingre</w:t>
      </w:r>
      <w:r w:rsidR="00A15C1C">
        <w:rPr>
          <w:rFonts w:ascii="Arial" w:hAnsi="Arial" w:cs="Arial"/>
          <w:sz w:val="24"/>
          <w:szCs w:val="24"/>
        </w:rPr>
        <w:t>sos que se presenta cumple con el Acuerdo p</w:t>
      </w:r>
      <w:r w:rsidR="001958F8">
        <w:rPr>
          <w:rFonts w:ascii="Arial" w:hAnsi="Arial" w:cs="Arial"/>
          <w:sz w:val="24"/>
          <w:szCs w:val="24"/>
        </w:rPr>
        <w:t>or el que se reforma y adiciona</w:t>
      </w:r>
      <w:r w:rsidR="00A15C1C">
        <w:rPr>
          <w:rFonts w:ascii="Arial" w:hAnsi="Arial" w:cs="Arial"/>
          <w:sz w:val="24"/>
          <w:szCs w:val="24"/>
        </w:rPr>
        <w:t xml:space="preserve"> el Clasificador por Rubros de Ingresos,</w:t>
      </w:r>
      <w:r w:rsidRPr="00BC4D80">
        <w:rPr>
          <w:rFonts w:ascii="Arial" w:hAnsi="Arial" w:cs="Arial"/>
          <w:sz w:val="24"/>
          <w:szCs w:val="24"/>
        </w:rPr>
        <w:t xml:space="preserve"> publicad</w:t>
      </w:r>
      <w:r w:rsidR="00A15C1C">
        <w:rPr>
          <w:rFonts w:ascii="Arial" w:hAnsi="Arial" w:cs="Arial"/>
          <w:sz w:val="24"/>
          <w:szCs w:val="24"/>
        </w:rPr>
        <w:t>o</w:t>
      </w:r>
      <w:r w:rsidRPr="00BC4D80">
        <w:rPr>
          <w:rFonts w:ascii="Arial" w:hAnsi="Arial" w:cs="Arial"/>
          <w:sz w:val="24"/>
          <w:szCs w:val="24"/>
        </w:rPr>
        <w:t xml:space="preserve"> en el Diario Oficial de la Federación el 11 de junio de 2018, </w:t>
      </w:r>
      <w:r w:rsidR="00A15C1C">
        <w:rPr>
          <w:rFonts w:ascii="Arial" w:hAnsi="Arial" w:cs="Arial"/>
          <w:sz w:val="24"/>
          <w:szCs w:val="24"/>
        </w:rPr>
        <w:t xml:space="preserve">el </w:t>
      </w:r>
      <w:r w:rsidRPr="00BC4D80">
        <w:rPr>
          <w:rFonts w:ascii="Arial" w:hAnsi="Arial" w:cs="Arial"/>
          <w:sz w:val="24"/>
          <w:szCs w:val="24"/>
        </w:rPr>
        <w:t>cual señala en su artículo transitorio segundo,</w:t>
      </w:r>
      <w:r w:rsidR="00A15C1C">
        <w:rPr>
          <w:rFonts w:ascii="Arial" w:hAnsi="Arial" w:cs="Arial"/>
          <w:sz w:val="24"/>
          <w:szCs w:val="24"/>
        </w:rPr>
        <w:t xml:space="preserve"> que durante el ejercicio 2018, los entes públicos deberán utilizar este acuerdo para la elaboración de la I</w:t>
      </w:r>
      <w:r w:rsidRPr="00BC4D80">
        <w:rPr>
          <w:rFonts w:ascii="Arial" w:hAnsi="Arial" w:cs="Arial"/>
          <w:sz w:val="24"/>
          <w:szCs w:val="24"/>
        </w:rPr>
        <w:t>niciativa de Ley de Ingresos</w:t>
      </w:r>
      <w:r w:rsidR="004F775C">
        <w:rPr>
          <w:rFonts w:ascii="Arial" w:hAnsi="Arial" w:cs="Arial"/>
          <w:sz w:val="24"/>
          <w:szCs w:val="24"/>
        </w:rPr>
        <w:t xml:space="preserve"> correspondiente al</w:t>
      </w:r>
      <w:r w:rsidRPr="00BC4D80">
        <w:rPr>
          <w:rFonts w:ascii="Arial" w:hAnsi="Arial" w:cs="Arial"/>
          <w:sz w:val="24"/>
          <w:szCs w:val="24"/>
        </w:rPr>
        <w:t xml:space="preserve"> ejercicio 2019.</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Aunado a lo anterior, la clasificación de las estimaciones de ingresos se presenta desagregada hasta el tercer nivel, es decir, s</w:t>
      </w:r>
      <w:r w:rsidR="0022349C">
        <w:rPr>
          <w:rFonts w:ascii="Arial" w:hAnsi="Arial" w:cs="Arial"/>
          <w:sz w:val="24"/>
          <w:szCs w:val="24"/>
        </w:rPr>
        <w:t>e describe la clase del ingreso</w:t>
      </w:r>
      <w:r w:rsidRPr="00BC4D80">
        <w:rPr>
          <w:rFonts w:ascii="Arial" w:hAnsi="Arial" w:cs="Arial"/>
          <w:sz w:val="24"/>
          <w:szCs w:val="24"/>
        </w:rPr>
        <w:t xml:space="preserve"> con el objeto</w:t>
      </w:r>
      <w:r w:rsidR="0022349C">
        <w:rPr>
          <w:rFonts w:ascii="Arial" w:hAnsi="Arial" w:cs="Arial"/>
          <w:sz w:val="24"/>
          <w:szCs w:val="24"/>
        </w:rPr>
        <w:t xml:space="preserve"> de </w:t>
      </w:r>
      <w:r w:rsidRPr="00BC4D80">
        <w:rPr>
          <w:rFonts w:ascii="Arial" w:hAnsi="Arial" w:cs="Arial"/>
          <w:sz w:val="24"/>
          <w:szCs w:val="24"/>
        </w:rPr>
        <w:t xml:space="preserve">transparentar y hacer más específica la recaudación de los recursos. Esto, conservando la armonización con el Plan de Cuentas </w:t>
      </w:r>
      <w:r w:rsidR="001958F8">
        <w:rPr>
          <w:rFonts w:ascii="Arial" w:hAnsi="Arial" w:cs="Arial"/>
          <w:sz w:val="24"/>
          <w:szCs w:val="24"/>
        </w:rPr>
        <w:t>aprobado</w:t>
      </w:r>
      <w:r w:rsidR="0022349C">
        <w:rPr>
          <w:rFonts w:ascii="Arial" w:hAnsi="Arial" w:cs="Arial"/>
          <w:sz w:val="24"/>
          <w:szCs w:val="24"/>
        </w:rPr>
        <w:t xml:space="preserve"> por el CONAC</w:t>
      </w:r>
      <w:r w:rsidR="004F775C">
        <w:rPr>
          <w:rFonts w:ascii="Arial" w:hAnsi="Arial" w:cs="Arial"/>
          <w:sz w:val="24"/>
          <w:szCs w:val="24"/>
        </w:rPr>
        <w:t>,</w:t>
      </w:r>
      <w:r w:rsidR="0022349C">
        <w:rPr>
          <w:rFonts w:ascii="Arial" w:hAnsi="Arial" w:cs="Arial"/>
          <w:sz w:val="24"/>
          <w:szCs w:val="24"/>
        </w:rPr>
        <w:t xml:space="preserve"> así como lo </w:t>
      </w:r>
      <w:r w:rsidRPr="00BC4D80">
        <w:rPr>
          <w:rFonts w:ascii="Arial" w:hAnsi="Arial" w:cs="Arial"/>
          <w:sz w:val="24"/>
          <w:szCs w:val="24"/>
        </w:rPr>
        <w:t xml:space="preserve">establecido </w:t>
      </w:r>
      <w:r w:rsidR="0022349C">
        <w:rPr>
          <w:rFonts w:ascii="Arial" w:hAnsi="Arial" w:cs="Arial"/>
          <w:sz w:val="24"/>
          <w:szCs w:val="24"/>
        </w:rPr>
        <w:t xml:space="preserve">en los documentos emitidos </w:t>
      </w:r>
      <w:r w:rsidRPr="00BC4D80">
        <w:rPr>
          <w:rFonts w:ascii="Arial" w:hAnsi="Arial" w:cs="Arial"/>
          <w:sz w:val="24"/>
          <w:szCs w:val="24"/>
        </w:rPr>
        <w:t>por e</w:t>
      </w:r>
      <w:r w:rsidR="0022349C">
        <w:rPr>
          <w:rFonts w:ascii="Arial" w:hAnsi="Arial" w:cs="Arial"/>
          <w:sz w:val="24"/>
          <w:szCs w:val="24"/>
        </w:rPr>
        <w:t>ste</w:t>
      </w:r>
      <w:r w:rsidRPr="00BC4D80">
        <w:rPr>
          <w:rFonts w:ascii="Arial" w:hAnsi="Arial" w:cs="Arial"/>
          <w:sz w:val="24"/>
          <w:szCs w:val="24"/>
        </w:rPr>
        <w:t>.</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7B7826">
        <w:rPr>
          <w:rFonts w:ascii="Arial" w:hAnsi="Arial" w:cs="Arial"/>
          <w:sz w:val="24"/>
          <w:szCs w:val="24"/>
        </w:rPr>
        <w:t>En atención</w:t>
      </w:r>
      <w:r w:rsidRPr="00BC4D80">
        <w:rPr>
          <w:rFonts w:ascii="Arial" w:hAnsi="Arial" w:cs="Arial"/>
          <w:sz w:val="24"/>
          <w:szCs w:val="24"/>
        </w:rPr>
        <w:t xml:space="preserve"> a lo anterior, la </w:t>
      </w:r>
      <w:r w:rsidR="004F775C">
        <w:rPr>
          <w:rFonts w:ascii="Arial" w:hAnsi="Arial" w:cs="Arial"/>
          <w:sz w:val="24"/>
          <w:szCs w:val="24"/>
        </w:rPr>
        <w:t xml:space="preserve">iniciativa de </w:t>
      </w:r>
      <w:r w:rsidRPr="00BC4D80">
        <w:rPr>
          <w:rFonts w:ascii="Arial" w:hAnsi="Arial" w:cs="Arial"/>
          <w:sz w:val="24"/>
          <w:szCs w:val="24"/>
        </w:rPr>
        <w:t xml:space="preserve">Ley de Ingresos proyecta una diferencia en el rubro </w:t>
      </w:r>
      <w:r w:rsidR="0022349C">
        <w:rPr>
          <w:rFonts w:ascii="Arial" w:hAnsi="Arial" w:cs="Arial"/>
          <w:sz w:val="24"/>
          <w:szCs w:val="24"/>
        </w:rPr>
        <w:t>seis denominado</w:t>
      </w:r>
      <w:r w:rsidRPr="00BC4D80">
        <w:rPr>
          <w:rFonts w:ascii="Arial" w:hAnsi="Arial" w:cs="Arial"/>
          <w:sz w:val="24"/>
          <w:szCs w:val="24"/>
        </w:rPr>
        <w:t xml:space="preserve"> “Aprovechamientos”, al </w:t>
      </w:r>
      <w:r w:rsidR="001958F8">
        <w:rPr>
          <w:rFonts w:ascii="Arial" w:hAnsi="Arial" w:cs="Arial"/>
          <w:sz w:val="24"/>
          <w:szCs w:val="24"/>
        </w:rPr>
        <w:t>pres</w:t>
      </w:r>
      <w:r w:rsidR="00363787">
        <w:rPr>
          <w:rFonts w:ascii="Arial" w:hAnsi="Arial" w:cs="Arial"/>
          <w:sz w:val="24"/>
          <w:szCs w:val="24"/>
        </w:rPr>
        <w:t xml:space="preserve">entar un </w:t>
      </w:r>
      <w:r w:rsidRPr="00BC4D80">
        <w:rPr>
          <w:rFonts w:ascii="Arial" w:hAnsi="Arial" w:cs="Arial"/>
          <w:sz w:val="24"/>
          <w:szCs w:val="24"/>
        </w:rPr>
        <w:t>ingreso</w:t>
      </w:r>
      <w:r w:rsidR="00363787">
        <w:rPr>
          <w:rFonts w:ascii="Arial" w:hAnsi="Arial" w:cs="Arial"/>
          <w:sz w:val="24"/>
          <w:szCs w:val="24"/>
        </w:rPr>
        <w:t xml:space="preserve"> aparentemente</w:t>
      </w:r>
      <w:r w:rsidRPr="00BC4D80">
        <w:rPr>
          <w:rFonts w:ascii="Arial" w:hAnsi="Arial" w:cs="Arial"/>
          <w:sz w:val="24"/>
          <w:szCs w:val="24"/>
        </w:rPr>
        <w:t xml:space="preserve"> menor al del año anterior, sin embargo, esta diferencia se </w:t>
      </w:r>
      <w:r w:rsidR="004F775C">
        <w:rPr>
          <w:rFonts w:ascii="Arial" w:hAnsi="Arial" w:cs="Arial"/>
          <w:sz w:val="24"/>
          <w:szCs w:val="24"/>
        </w:rPr>
        <w:t>debe a</w:t>
      </w:r>
      <w:r w:rsidR="0022349C">
        <w:rPr>
          <w:rFonts w:ascii="Arial" w:hAnsi="Arial" w:cs="Arial"/>
          <w:sz w:val="24"/>
          <w:szCs w:val="24"/>
        </w:rPr>
        <w:t xml:space="preserve"> </w:t>
      </w:r>
      <w:r w:rsidRPr="00BC4D80">
        <w:rPr>
          <w:rFonts w:ascii="Arial" w:hAnsi="Arial" w:cs="Arial"/>
          <w:sz w:val="24"/>
          <w:szCs w:val="24"/>
        </w:rPr>
        <w:t xml:space="preserve">que hubo una reclasificación de los ingresos por incentivos. En este sentido, se </w:t>
      </w:r>
      <w:r w:rsidR="0022349C">
        <w:rPr>
          <w:rFonts w:ascii="Arial" w:hAnsi="Arial" w:cs="Arial"/>
          <w:sz w:val="24"/>
          <w:szCs w:val="24"/>
        </w:rPr>
        <w:t>reclasificó el tipo de ingreso denominado “Incentivos d</w:t>
      </w:r>
      <w:r w:rsidRPr="00BC4D80">
        <w:rPr>
          <w:rFonts w:ascii="Arial" w:hAnsi="Arial" w:cs="Arial"/>
          <w:sz w:val="24"/>
          <w:szCs w:val="24"/>
        </w:rPr>
        <w:t xml:space="preserve">erivados de la </w:t>
      </w:r>
      <w:r w:rsidR="0022349C">
        <w:rPr>
          <w:rFonts w:ascii="Arial" w:hAnsi="Arial" w:cs="Arial"/>
          <w:sz w:val="24"/>
          <w:szCs w:val="24"/>
        </w:rPr>
        <w:t>c</w:t>
      </w:r>
      <w:r w:rsidRPr="00BC4D80">
        <w:rPr>
          <w:rFonts w:ascii="Arial" w:hAnsi="Arial" w:cs="Arial"/>
          <w:sz w:val="24"/>
          <w:szCs w:val="24"/>
        </w:rPr>
        <w:t xml:space="preserve">olaboración </w:t>
      </w:r>
      <w:r w:rsidR="0022349C">
        <w:rPr>
          <w:rFonts w:ascii="Arial" w:hAnsi="Arial" w:cs="Arial"/>
          <w:sz w:val="24"/>
          <w:szCs w:val="24"/>
        </w:rPr>
        <w:lastRenderedPageBreak/>
        <w:t>fiscal”</w:t>
      </w:r>
      <w:r w:rsidRPr="00BC4D80">
        <w:rPr>
          <w:rFonts w:ascii="Arial" w:hAnsi="Arial" w:cs="Arial"/>
          <w:sz w:val="24"/>
          <w:szCs w:val="24"/>
        </w:rPr>
        <w:t xml:space="preserve"> al rubro</w:t>
      </w:r>
      <w:r w:rsidR="0022349C">
        <w:rPr>
          <w:rFonts w:ascii="Arial" w:hAnsi="Arial" w:cs="Arial"/>
          <w:sz w:val="24"/>
          <w:szCs w:val="24"/>
        </w:rPr>
        <w:t xml:space="preserve"> ocho de</w:t>
      </w:r>
      <w:r w:rsidRPr="00BC4D80">
        <w:rPr>
          <w:rFonts w:ascii="Arial" w:hAnsi="Arial" w:cs="Arial"/>
          <w:sz w:val="24"/>
          <w:szCs w:val="24"/>
        </w:rPr>
        <w:t xml:space="preserve"> “Participaciones, </w:t>
      </w:r>
      <w:r w:rsidR="0022349C">
        <w:rPr>
          <w:rFonts w:ascii="Arial" w:hAnsi="Arial" w:cs="Arial"/>
          <w:sz w:val="24"/>
          <w:szCs w:val="24"/>
        </w:rPr>
        <w:t>a</w:t>
      </w:r>
      <w:r w:rsidRPr="00BC4D80">
        <w:rPr>
          <w:rFonts w:ascii="Arial" w:hAnsi="Arial" w:cs="Arial"/>
          <w:sz w:val="24"/>
          <w:szCs w:val="24"/>
        </w:rPr>
        <w:t xml:space="preserve">portaciones, </w:t>
      </w:r>
      <w:r w:rsidR="0022349C">
        <w:rPr>
          <w:rFonts w:ascii="Arial" w:hAnsi="Arial" w:cs="Arial"/>
          <w:sz w:val="24"/>
          <w:szCs w:val="24"/>
        </w:rPr>
        <w:t>c</w:t>
      </w:r>
      <w:r w:rsidRPr="00BC4D80">
        <w:rPr>
          <w:rFonts w:ascii="Arial" w:hAnsi="Arial" w:cs="Arial"/>
          <w:sz w:val="24"/>
          <w:szCs w:val="24"/>
        </w:rPr>
        <w:t xml:space="preserve">onvenios, </w:t>
      </w:r>
      <w:r w:rsidR="0022349C">
        <w:rPr>
          <w:rFonts w:ascii="Arial" w:hAnsi="Arial" w:cs="Arial"/>
          <w:sz w:val="24"/>
          <w:szCs w:val="24"/>
        </w:rPr>
        <w:t>i</w:t>
      </w:r>
      <w:r w:rsidRPr="00BC4D80">
        <w:rPr>
          <w:rFonts w:ascii="Arial" w:hAnsi="Arial" w:cs="Arial"/>
          <w:sz w:val="24"/>
          <w:szCs w:val="24"/>
        </w:rPr>
        <w:t xml:space="preserve">ncentivos </w:t>
      </w:r>
      <w:r w:rsidR="0022349C">
        <w:rPr>
          <w:rFonts w:ascii="Arial" w:hAnsi="Arial" w:cs="Arial"/>
          <w:sz w:val="24"/>
          <w:szCs w:val="24"/>
        </w:rPr>
        <w:t>derivados de la c</w:t>
      </w:r>
      <w:r w:rsidRPr="00BC4D80">
        <w:rPr>
          <w:rFonts w:ascii="Arial" w:hAnsi="Arial" w:cs="Arial"/>
          <w:sz w:val="24"/>
          <w:szCs w:val="24"/>
        </w:rPr>
        <w:t xml:space="preserve">olaboración </w:t>
      </w:r>
      <w:r w:rsidR="0022349C">
        <w:rPr>
          <w:rFonts w:ascii="Arial" w:hAnsi="Arial" w:cs="Arial"/>
          <w:sz w:val="24"/>
          <w:szCs w:val="24"/>
        </w:rPr>
        <w:t>fiscal y fondos d</w:t>
      </w:r>
      <w:r w:rsidRPr="00BC4D80">
        <w:rPr>
          <w:rFonts w:ascii="Arial" w:hAnsi="Arial" w:cs="Arial"/>
          <w:sz w:val="24"/>
          <w:szCs w:val="24"/>
        </w:rPr>
        <w:t xml:space="preserve">istintos de </w:t>
      </w:r>
      <w:r w:rsidR="0022349C">
        <w:rPr>
          <w:rFonts w:ascii="Arial" w:hAnsi="Arial" w:cs="Arial"/>
          <w:sz w:val="24"/>
          <w:szCs w:val="24"/>
        </w:rPr>
        <w:t>a</w:t>
      </w:r>
      <w:r w:rsidRPr="00BC4D80">
        <w:rPr>
          <w:rFonts w:ascii="Arial" w:hAnsi="Arial" w:cs="Arial"/>
          <w:sz w:val="24"/>
          <w:szCs w:val="24"/>
        </w:rPr>
        <w:t>portaciones”. Bajo esta pre</w:t>
      </w:r>
      <w:r w:rsidR="0022349C">
        <w:rPr>
          <w:rFonts w:ascii="Arial" w:hAnsi="Arial" w:cs="Arial"/>
          <w:sz w:val="24"/>
          <w:szCs w:val="24"/>
        </w:rPr>
        <w:t>misa, el ingreso por incentivos</w:t>
      </w:r>
      <w:r w:rsidRPr="00BC4D80">
        <w:rPr>
          <w:rFonts w:ascii="Arial" w:hAnsi="Arial" w:cs="Arial"/>
          <w:sz w:val="24"/>
          <w:szCs w:val="24"/>
        </w:rPr>
        <w:t xml:space="preserve"> se reubicó </w:t>
      </w:r>
      <w:r w:rsidR="0022349C">
        <w:rPr>
          <w:rFonts w:ascii="Arial" w:hAnsi="Arial" w:cs="Arial"/>
          <w:sz w:val="24"/>
          <w:szCs w:val="24"/>
        </w:rPr>
        <w:t>en el</w:t>
      </w:r>
      <w:r w:rsidRPr="00BC4D80">
        <w:rPr>
          <w:rFonts w:ascii="Arial" w:hAnsi="Arial" w:cs="Arial"/>
          <w:sz w:val="24"/>
          <w:szCs w:val="24"/>
        </w:rPr>
        <w:t xml:space="preserve"> rubro </w:t>
      </w:r>
      <w:r w:rsidR="0022349C">
        <w:rPr>
          <w:rFonts w:ascii="Arial" w:hAnsi="Arial" w:cs="Arial"/>
          <w:sz w:val="24"/>
          <w:szCs w:val="24"/>
        </w:rPr>
        <w:t>ocho</w:t>
      </w:r>
      <w:r w:rsidRPr="00BC4D80">
        <w:rPr>
          <w:rFonts w:ascii="Arial" w:hAnsi="Arial" w:cs="Arial"/>
          <w:sz w:val="24"/>
          <w:szCs w:val="24"/>
        </w:rPr>
        <w:t>, el cual tuvo un incremento po</w:t>
      </w:r>
      <w:r w:rsidRPr="0026653D">
        <w:rPr>
          <w:rFonts w:ascii="Arial" w:hAnsi="Arial" w:cs="Arial"/>
          <w:sz w:val="24"/>
          <w:szCs w:val="24"/>
        </w:rPr>
        <w:t>r $2,835,573,475</w:t>
      </w:r>
      <w:r w:rsidR="007B7826" w:rsidRPr="0026653D">
        <w:rPr>
          <w:rFonts w:ascii="Arial" w:hAnsi="Arial" w:cs="Arial"/>
          <w:sz w:val="24"/>
          <w:szCs w:val="24"/>
        </w:rPr>
        <w:t>.00</w:t>
      </w:r>
      <w:r w:rsidRPr="0026653D">
        <w:rPr>
          <w:rFonts w:ascii="Arial" w:hAnsi="Arial" w:cs="Arial"/>
          <w:sz w:val="24"/>
          <w:szCs w:val="24"/>
        </w:rPr>
        <w:t>, de los $450,830,917</w:t>
      </w:r>
      <w:r w:rsidR="007B7826" w:rsidRPr="0026653D">
        <w:rPr>
          <w:rFonts w:ascii="Arial" w:hAnsi="Arial" w:cs="Arial"/>
          <w:sz w:val="24"/>
          <w:szCs w:val="24"/>
        </w:rPr>
        <w:t>.00</w:t>
      </w:r>
      <w:r w:rsidR="007B7826" w:rsidRPr="00DB4160">
        <w:rPr>
          <w:rFonts w:ascii="Arial" w:hAnsi="Arial" w:cs="Arial"/>
          <w:sz w:val="24"/>
          <w:szCs w:val="24"/>
        </w:rPr>
        <w:t xml:space="preserve"> que</w:t>
      </w:r>
      <w:r w:rsidR="007B7826">
        <w:rPr>
          <w:rFonts w:ascii="Arial" w:hAnsi="Arial" w:cs="Arial"/>
          <w:sz w:val="24"/>
          <w:szCs w:val="24"/>
        </w:rPr>
        <w:t xml:space="preserve"> le</w:t>
      </w:r>
      <w:r w:rsidRPr="00BC4D80">
        <w:rPr>
          <w:rFonts w:ascii="Arial" w:hAnsi="Arial" w:cs="Arial"/>
          <w:sz w:val="24"/>
          <w:szCs w:val="24"/>
        </w:rPr>
        <w:t xml:space="preserve"> corresponde</w:t>
      </w:r>
      <w:r w:rsidR="007B7826">
        <w:rPr>
          <w:rFonts w:ascii="Arial" w:hAnsi="Arial" w:cs="Arial"/>
          <w:sz w:val="24"/>
          <w:szCs w:val="24"/>
        </w:rPr>
        <w:t>n</w:t>
      </w:r>
      <w:r w:rsidRPr="00BC4D80">
        <w:rPr>
          <w:rFonts w:ascii="Arial" w:hAnsi="Arial" w:cs="Arial"/>
          <w:sz w:val="24"/>
          <w:szCs w:val="24"/>
        </w:rPr>
        <w:t>.</w:t>
      </w:r>
    </w:p>
    <w:p w:rsidR="00773FD3" w:rsidRPr="00BC4D80" w:rsidRDefault="00773FD3" w:rsidP="00BC4D80">
      <w:pPr>
        <w:spacing w:before="100" w:beforeAutospacing="1" w:after="100" w:afterAutospacing="1" w:line="240" w:lineRule="auto"/>
        <w:jc w:val="both"/>
        <w:rPr>
          <w:rFonts w:ascii="Arial" w:hAnsi="Arial" w:cs="Arial"/>
          <w:sz w:val="24"/>
          <w:szCs w:val="24"/>
        </w:rPr>
      </w:pPr>
      <w:r w:rsidRPr="001E317E">
        <w:rPr>
          <w:rFonts w:ascii="Arial" w:hAnsi="Arial" w:cs="Arial"/>
          <w:sz w:val="24"/>
          <w:szCs w:val="24"/>
        </w:rPr>
        <w:t>Por otra parte, también</w:t>
      </w:r>
      <w:r w:rsidR="001E317E">
        <w:rPr>
          <w:rFonts w:ascii="Arial" w:hAnsi="Arial" w:cs="Arial"/>
          <w:sz w:val="24"/>
          <w:szCs w:val="24"/>
        </w:rPr>
        <w:t xml:space="preserve"> es relevante mencionar que la iniciativa que se</w:t>
      </w:r>
      <w:r w:rsidRPr="001E317E">
        <w:rPr>
          <w:rFonts w:ascii="Arial" w:hAnsi="Arial" w:cs="Arial"/>
          <w:sz w:val="24"/>
          <w:szCs w:val="24"/>
        </w:rPr>
        <w:t xml:space="preserve"> presenta</w:t>
      </w:r>
      <w:r w:rsidR="001E317E">
        <w:rPr>
          <w:rFonts w:ascii="Arial" w:hAnsi="Arial" w:cs="Arial"/>
          <w:sz w:val="24"/>
          <w:szCs w:val="24"/>
        </w:rPr>
        <w:t xml:space="preserve"> contiene</w:t>
      </w:r>
      <w:r w:rsidRPr="001E317E">
        <w:rPr>
          <w:rFonts w:ascii="Arial" w:hAnsi="Arial" w:cs="Arial"/>
          <w:sz w:val="24"/>
          <w:szCs w:val="24"/>
        </w:rPr>
        <w:t xml:space="preserve"> una n</w:t>
      </w:r>
      <w:r w:rsidR="008455F3">
        <w:rPr>
          <w:rFonts w:ascii="Arial" w:hAnsi="Arial" w:cs="Arial"/>
          <w:sz w:val="24"/>
          <w:szCs w:val="24"/>
        </w:rPr>
        <w:t xml:space="preserve">ueva clasificación conforme al </w:t>
      </w:r>
      <w:r w:rsidRPr="001E317E">
        <w:rPr>
          <w:rFonts w:ascii="Arial" w:hAnsi="Arial" w:cs="Arial"/>
          <w:sz w:val="24"/>
          <w:szCs w:val="24"/>
        </w:rPr>
        <w:t>Clasificador por Rubros de Ingresos emitid</w:t>
      </w:r>
      <w:r w:rsidR="001E317E" w:rsidRPr="001E317E">
        <w:rPr>
          <w:rFonts w:ascii="Arial" w:hAnsi="Arial" w:cs="Arial"/>
          <w:sz w:val="24"/>
          <w:szCs w:val="24"/>
        </w:rPr>
        <w:t>a</w:t>
      </w:r>
      <w:r w:rsidRPr="001E317E">
        <w:rPr>
          <w:rFonts w:ascii="Arial" w:hAnsi="Arial" w:cs="Arial"/>
          <w:sz w:val="24"/>
          <w:szCs w:val="24"/>
        </w:rPr>
        <w:t xml:space="preserve"> por el CONAC </w:t>
      </w:r>
      <w:r w:rsidR="008455F3">
        <w:rPr>
          <w:rFonts w:ascii="Arial" w:hAnsi="Arial" w:cs="Arial"/>
          <w:sz w:val="24"/>
          <w:szCs w:val="24"/>
        </w:rPr>
        <w:t xml:space="preserve">en el rubro </w:t>
      </w:r>
      <w:r w:rsidR="00363787">
        <w:rPr>
          <w:rFonts w:ascii="Arial" w:hAnsi="Arial" w:cs="Arial"/>
          <w:sz w:val="24"/>
          <w:szCs w:val="24"/>
        </w:rPr>
        <w:t>do</w:t>
      </w:r>
      <w:r w:rsidR="00837676">
        <w:rPr>
          <w:rFonts w:ascii="Arial" w:hAnsi="Arial" w:cs="Arial"/>
          <w:sz w:val="24"/>
          <w:szCs w:val="24"/>
        </w:rPr>
        <w:t>s</w:t>
      </w:r>
      <w:r w:rsidRPr="001E317E">
        <w:rPr>
          <w:rFonts w:ascii="Arial" w:hAnsi="Arial" w:cs="Arial"/>
          <w:sz w:val="24"/>
          <w:szCs w:val="24"/>
        </w:rPr>
        <w:t xml:space="preserve"> denominado “Cuotas y aportaciones de seguridad social”, a través del cual se estima recaudar $1,026,632,941.00</w:t>
      </w:r>
      <w:r w:rsidRPr="001542A6">
        <w:rPr>
          <w:rFonts w:ascii="Arial" w:hAnsi="Arial" w:cs="Arial"/>
          <w:sz w:val="24"/>
          <w:szCs w:val="24"/>
        </w:rPr>
        <w:t xml:space="preserve">. </w:t>
      </w:r>
      <w:r w:rsidR="005900E1" w:rsidRPr="001542A6">
        <w:rPr>
          <w:rFonts w:ascii="Arial" w:hAnsi="Arial" w:cs="Arial"/>
          <w:sz w:val="24"/>
          <w:szCs w:val="24"/>
        </w:rPr>
        <w:t xml:space="preserve">Este </w:t>
      </w:r>
      <w:r w:rsidRPr="001542A6">
        <w:rPr>
          <w:rFonts w:ascii="Arial" w:hAnsi="Arial" w:cs="Arial"/>
          <w:sz w:val="24"/>
          <w:szCs w:val="24"/>
        </w:rPr>
        <w:t>ingreso, de conformidad con lo establecido en dicho documento y</w:t>
      </w:r>
      <w:r w:rsidR="008455F3" w:rsidRPr="001542A6">
        <w:rPr>
          <w:rFonts w:ascii="Arial" w:hAnsi="Arial" w:cs="Arial"/>
          <w:sz w:val="24"/>
          <w:szCs w:val="24"/>
        </w:rPr>
        <w:t xml:space="preserve"> en</w:t>
      </w:r>
      <w:r w:rsidRPr="001542A6">
        <w:rPr>
          <w:rFonts w:ascii="Arial" w:hAnsi="Arial" w:cs="Arial"/>
          <w:sz w:val="24"/>
          <w:szCs w:val="24"/>
        </w:rPr>
        <w:t xml:space="preserve"> el Manual de</w:t>
      </w:r>
      <w:r w:rsidRPr="001E317E">
        <w:rPr>
          <w:rFonts w:ascii="Arial" w:hAnsi="Arial" w:cs="Arial"/>
          <w:sz w:val="24"/>
          <w:szCs w:val="24"/>
        </w:rPr>
        <w:t xml:space="preserve"> Contabilidad Gubernamental</w:t>
      </w:r>
      <w:r w:rsidR="008455F3">
        <w:rPr>
          <w:rFonts w:ascii="Arial" w:hAnsi="Arial" w:cs="Arial"/>
          <w:sz w:val="24"/>
          <w:szCs w:val="24"/>
        </w:rPr>
        <w:t xml:space="preserve"> emitidos por el CONAC</w:t>
      </w:r>
      <w:r w:rsidRPr="001E317E">
        <w:rPr>
          <w:rFonts w:ascii="Arial" w:hAnsi="Arial" w:cs="Arial"/>
          <w:sz w:val="24"/>
          <w:szCs w:val="24"/>
        </w:rPr>
        <w:t>, se refiere a las contribuciones</w:t>
      </w:r>
      <w:r w:rsidR="008455F3">
        <w:rPr>
          <w:rFonts w:ascii="Arial" w:hAnsi="Arial" w:cs="Arial"/>
          <w:sz w:val="24"/>
          <w:szCs w:val="24"/>
        </w:rPr>
        <w:t xml:space="preserve"> </w:t>
      </w:r>
      <w:r w:rsidRPr="001E317E">
        <w:rPr>
          <w:rFonts w:ascii="Arial" w:hAnsi="Arial" w:cs="Arial"/>
          <w:sz w:val="24"/>
          <w:szCs w:val="24"/>
        </w:rPr>
        <w:t xml:space="preserve">fijadas </w:t>
      </w:r>
      <w:r w:rsidR="008455F3">
        <w:rPr>
          <w:rFonts w:ascii="Arial" w:hAnsi="Arial" w:cs="Arial"/>
          <w:sz w:val="24"/>
          <w:szCs w:val="24"/>
        </w:rPr>
        <w:t>en la l</w:t>
      </w:r>
      <w:r w:rsidRPr="001E317E">
        <w:rPr>
          <w:rFonts w:ascii="Arial" w:hAnsi="Arial" w:cs="Arial"/>
          <w:sz w:val="24"/>
          <w:szCs w:val="24"/>
        </w:rPr>
        <w:t xml:space="preserve">ey en materia de seguridad social a las personas que se beneficien en forma especial por servicios de seguridad social proporcionados por el </w:t>
      </w:r>
      <w:r w:rsidR="001542A6">
        <w:rPr>
          <w:rFonts w:ascii="Arial" w:hAnsi="Arial" w:cs="Arial"/>
          <w:sz w:val="24"/>
          <w:szCs w:val="24"/>
        </w:rPr>
        <w:t>E</w:t>
      </w:r>
      <w:r w:rsidR="008455F3">
        <w:rPr>
          <w:rFonts w:ascii="Arial" w:hAnsi="Arial" w:cs="Arial"/>
          <w:sz w:val="24"/>
          <w:szCs w:val="24"/>
        </w:rPr>
        <w:t xml:space="preserve">stado. Asimismo, esta </w:t>
      </w:r>
      <w:r w:rsidR="008455F3" w:rsidRPr="008455F3">
        <w:rPr>
          <w:rFonts w:ascii="Arial" w:hAnsi="Arial" w:cs="Arial"/>
          <w:sz w:val="24"/>
          <w:szCs w:val="24"/>
        </w:rPr>
        <w:t>l</w:t>
      </w:r>
      <w:r w:rsidRPr="008455F3">
        <w:rPr>
          <w:rFonts w:ascii="Arial" w:hAnsi="Arial" w:cs="Arial"/>
          <w:sz w:val="24"/>
          <w:szCs w:val="24"/>
        </w:rPr>
        <w:t>ey</w:t>
      </w:r>
      <w:r w:rsidRPr="001E317E">
        <w:rPr>
          <w:rFonts w:ascii="Arial" w:hAnsi="Arial" w:cs="Arial"/>
          <w:sz w:val="24"/>
          <w:szCs w:val="24"/>
        </w:rPr>
        <w:t xml:space="preserve"> prevé para este tipo de ingreso</w:t>
      </w:r>
      <w:r w:rsidR="00C74EA2">
        <w:rPr>
          <w:rFonts w:ascii="Arial" w:hAnsi="Arial" w:cs="Arial"/>
          <w:sz w:val="24"/>
          <w:szCs w:val="24"/>
        </w:rPr>
        <w:t>,</w:t>
      </w:r>
      <w:r w:rsidRPr="001E317E">
        <w:rPr>
          <w:rFonts w:ascii="Arial" w:hAnsi="Arial" w:cs="Arial"/>
          <w:sz w:val="24"/>
          <w:szCs w:val="24"/>
        </w:rPr>
        <w:t xml:space="preserve"> que las referidas cuotas podrán ser recaudadas a través del Instituto de Seguridad y Social de los Trabajadores del Estado de Yucatán.</w:t>
      </w:r>
    </w:p>
    <w:p w:rsidR="00773FD3" w:rsidRPr="00A15C1C" w:rsidRDefault="00773FD3" w:rsidP="00A15C1C">
      <w:pPr>
        <w:spacing w:before="100" w:beforeAutospacing="1" w:after="100" w:afterAutospacing="1" w:line="240" w:lineRule="auto"/>
        <w:jc w:val="both"/>
        <w:rPr>
          <w:rFonts w:ascii="Arial" w:hAnsi="Arial" w:cs="Arial"/>
          <w:i/>
          <w:sz w:val="24"/>
          <w:szCs w:val="24"/>
        </w:rPr>
      </w:pPr>
      <w:r w:rsidRPr="00A15C1C">
        <w:rPr>
          <w:rFonts w:ascii="Arial" w:hAnsi="Arial" w:cs="Arial"/>
          <w:i/>
          <w:sz w:val="24"/>
          <w:szCs w:val="24"/>
        </w:rPr>
        <w:t>Modificaciones a impuestos y derechos</w:t>
      </w:r>
    </w:p>
    <w:p w:rsidR="00773FD3" w:rsidRPr="003E63DA"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 xml:space="preserve">En el ámbito fiscal, la Ley de Ingresos </w:t>
      </w:r>
      <w:r w:rsidR="00C74EA2">
        <w:rPr>
          <w:rFonts w:ascii="Arial" w:hAnsi="Arial" w:cs="Arial"/>
          <w:sz w:val="24"/>
          <w:szCs w:val="24"/>
        </w:rPr>
        <w:t>para el Ejercicio Fiscal</w:t>
      </w:r>
      <w:r w:rsidRPr="00BC4D80">
        <w:rPr>
          <w:rFonts w:ascii="Arial" w:hAnsi="Arial" w:cs="Arial"/>
          <w:sz w:val="24"/>
          <w:szCs w:val="24"/>
        </w:rPr>
        <w:t xml:space="preserve"> 2019, presenta dos nuevos impuestos y un inc</w:t>
      </w:r>
      <w:r w:rsidR="003E63DA">
        <w:rPr>
          <w:rFonts w:ascii="Arial" w:hAnsi="Arial" w:cs="Arial"/>
          <w:sz w:val="24"/>
          <w:szCs w:val="24"/>
        </w:rPr>
        <w:t>remento a la tasa del impuesto a las</w:t>
      </w:r>
      <w:r w:rsidRPr="00BC4D80">
        <w:rPr>
          <w:rFonts w:ascii="Arial" w:hAnsi="Arial" w:cs="Arial"/>
          <w:sz w:val="24"/>
          <w:szCs w:val="24"/>
        </w:rPr>
        <w:t xml:space="preserve"> erogaciones en juegos y concursos. </w:t>
      </w:r>
      <w:r w:rsidR="00877811">
        <w:rPr>
          <w:rFonts w:ascii="Arial" w:hAnsi="Arial" w:cs="Arial"/>
          <w:sz w:val="24"/>
          <w:szCs w:val="24"/>
        </w:rPr>
        <w:t xml:space="preserve">De igual forma, se incorporan </w:t>
      </w:r>
      <w:r w:rsidRPr="00BC4D80">
        <w:rPr>
          <w:rFonts w:ascii="Arial" w:hAnsi="Arial" w:cs="Arial"/>
          <w:sz w:val="24"/>
          <w:szCs w:val="24"/>
        </w:rPr>
        <w:t>dos nuevos</w:t>
      </w:r>
      <w:r w:rsidR="00877811">
        <w:rPr>
          <w:rFonts w:ascii="Arial" w:hAnsi="Arial" w:cs="Arial"/>
          <w:sz w:val="24"/>
          <w:szCs w:val="24"/>
        </w:rPr>
        <w:t xml:space="preserve"> derechos</w:t>
      </w:r>
      <w:r w:rsidRPr="00BC4D80">
        <w:rPr>
          <w:rFonts w:ascii="Arial" w:hAnsi="Arial" w:cs="Arial"/>
          <w:sz w:val="24"/>
          <w:szCs w:val="24"/>
        </w:rPr>
        <w:t xml:space="preserve"> y se actualizan los </w:t>
      </w:r>
      <w:r w:rsidRPr="003E63DA">
        <w:rPr>
          <w:rFonts w:ascii="Arial" w:hAnsi="Arial" w:cs="Arial"/>
          <w:sz w:val="24"/>
          <w:szCs w:val="24"/>
        </w:rPr>
        <w:t>costos de otros.</w:t>
      </w:r>
    </w:p>
    <w:p w:rsidR="00AE28B3" w:rsidRDefault="00773FD3" w:rsidP="00BC4D80">
      <w:pPr>
        <w:spacing w:before="100" w:beforeAutospacing="1" w:after="100" w:afterAutospacing="1" w:line="240" w:lineRule="auto"/>
        <w:jc w:val="both"/>
        <w:rPr>
          <w:rFonts w:ascii="Arial" w:hAnsi="Arial" w:cs="Arial"/>
          <w:sz w:val="24"/>
          <w:szCs w:val="24"/>
        </w:rPr>
      </w:pPr>
      <w:r w:rsidRPr="003E63DA">
        <w:rPr>
          <w:rFonts w:ascii="Arial" w:hAnsi="Arial" w:cs="Arial"/>
          <w:sz w:val="24"/>
          <w:szCs w:val="24"/>
        </w:rPr>
        <w:t>Los dos impuestos nuevos son: el impuesto a la venta final de bebidas con contenido</w:t>
      </w:r>
      <w:r w:rsidRPr="00BC4D80">
        <w:rPr>
          <w:rFonts w:ascii="Arial" w:hAnsi="Arial" w:cs="Arial"/>
          <w:sz w:val="24"/>
          <w:szCs w:val="24"/>
        </w:rPr>
        <w:t xml:space="preserve"> alcohólico y el impuesto ambiental sobre la extracción de materiales</w:t>
      </w:r>
      <w:r w:rsidR="003E63DA">
        <w:rPr>
          <w:rFonts w:ascii="Arial" w:hAnsi="Arial" w:cs="Arial"/>
          <w:sz w:val="24"/>
          <w:szCs w:val="24"/>
        </w:rPr>
        <w:t xml:space="preserve"> pétreos</w:t>
      </w:r>
      <w:r w:rsidRPr="00BC4D80">
        <w:rPr>
          <w:rFonts w:ascii="Arial" w:hAnsi="Arial" w:cs="Arial"/>
          <w:sz w:val="24"/>
          <w:szCs w:val="24"/>
        </w:rPr>
        <w:t xml:space="preserve"> del suelo y subsuelo. </w:t>
      </w:r>
      <w:r w:rsidR="00877811">
        <w:rPr>
          <w:rFonts w:ascii="Arial" w:hAnsi="Arial" w:cs="Arial"/>
          <w:sz w:val="24"/>
          <w:szCs w:val="24"/>
        </w:rPr>
        <w:t>E</w:t>
      </w:r>
      <w:r w:rsidRPr="00BC4D80">
        <w:rPr>
          <w:rFonts w:ascii="Arial" w:hAnsi="Arial" w:cs="Arial"/>
          <w:sz w:val="24"/>
          <w:szCs w:val="24"/>
        </w:rPr>
        <w:t xml:space="preserve">l primero, </w:t>
      </w:r>
      <w:r w:rsidR="00877811">
        <w:rPr>
          <w:rFonts w:ascii="Arial" w:hAnsi="Arial" w:cs="Arial"/>
          <w:sz w:val="24"/>
          <w:szCs w:val="24"/>
        </w:rPr>
        <w:t>gravará</w:t>
      </w:r>
      <w:r w:rsidRPr="00BC4D80">
        <w:rPr>
          <w:rFonts w:ascii="Arial" w:hAnsi="Arial" w:cs="Arial"/>
          <w:sz w:val="24"/>
          <w:szCs w:val="24"/>
        </w:rPr>
        <w:t xml:space="preserve"> con un 4.5% </w:t>
      </w:r>
      <w:r w:rsidR="003E63DA">
        <w:rPr>
          <w:rFonts w:ascii="Arial" w:hAnsi="Arial" w:cs="Arial"/>
          <w:sz w:val="24"/>
          <w:szCs w:val="24"/>
        </w:rPr>
        <w:t xml:space="preserve">el precio percibido por </w:t>
      </w:r>
      <w:r w:rsidRPr="00BC4D80">
        <w:rPr>
          <w:rFonts w:ascii="Arial" w:hAnsi="Arial" w:cs="Arial"/>
          <w:sz w:val="24"/>
          <w:szCs w:val="24"/>
        </w:rPr>
        <w:t>la venta de bebidas en envase cerrado con contenido alcohólico ex</w:t>
      </w:r>
      <w:r w:rsidR="003E63DA">
        <w:rPr>
          <w:rFonts w:ascii="Arial" w:hAnsi="Arial" w:cs="Arial"/>
          <w:sz w:val="24"/>
          <w:szCs w:val="24"/>
        </w:rPr>
        <w:t>cepto</w:t>
      </w:r>
      <w:r w:rsidR="001542A6">
        <w:rPr>
          <w:rFonts w:ascii="Arial" w:hAnsi="Arial" w:cs="Arial"/>
          <w:sz w:val="24"/>
          <w:szCs w:val="24"/>
        </w:rPr>
        <w:t xml:space="preserve"> cerveza; y, l</w:t>
      </w:r>
      <w:r w:rsidR="00AE28B3">
        <w:rPr>
          <w:rFonts w:ascii="Arial" w:hAnsi="Arial" w:cs="Arial"/>
          <w:sz w:val="24"/>
          <w:szCs w:val="24"/>
        </w:rPr>
        <w:t xml:space="preserve">os ingresos que se obtengan de este </w:t>
      </w:r>
      <w:r w:rsidRPr="00BC4D80">
        <w:rPr>
          <w:rFonts w:ascii="Arial" w:hAnsi="Arial" w:cs="Arial"/>
          <w:sz w:val="24"/>
          <w:szCs w:val="24"/>
        </w:rPr>
        <w:t>impuesto se</w:t>
      </w:r>
      <w:r w:rsidR="00AE28B3">
        <w:rPr>
          <w:rFonts w:ascii="Arial" w:hAnsi="Arial" w:cs="Arial"/>
          <w:sz w:val="24"/>
          <w:szCs w:val="24"/>
        </w:rPr>
        <w:t xml:space="preserve"> transferirán a los municipios en concepto de participaciones en</w:t>
      </w:r>
      <w:r w:rsidRPr="00BC4D80">
        <w:rPr>
          <w:rFonts w:ascii="Arial" w:hAnsi="Arial" w:cs="Arial"/>
          <w:sz w:val="24"/>
          <w:szCs w:val="24"/>
        </w:rPr>
        <w:t xml:space="preserve"> un 20% </w:t>
      </w:r>
      <w:r w:rsidR="00877811">
        <w:rPr>
          <w:rFonts w:ascii="Arial" w:hAnsi="Arial" w:cs="Arial"/>
          <w:sz w:val="24"/>
          <w:szCs w:val="24"/>
        </w:rPr>
        <w:t xml:space="preserve">sobre </w:t>
      </w:r>
      <w:r w:rsidRPr="00BC4D80">
        <w:rPr>
          <w:rFonts w:ascii="Arial" w:hAnsi="Arial" w:cs="Arial"/>
          <w:sz w:val="24"/>
          <w:szCs w:val="24"/>
        </w:rPr>
        <w:t>e</w:t>
      </w:r>
      <w:r w:rsidR="00AE28B3">
        <w:rPr>
          <w:rFonts w:ascii="Arial" w:hAnsi="Arial" w:cs="Arial"/>
          <w:sz w:val="24"/>
          <w:szCs w:val="24"/>
        </w:rPr>
        <w:t>l monto que se recaude.</w:t>
      </w:r>
      <w:r w:rsidRPr="00BC4D80">
        <w:rPr>
          <w:rFonts w:ascii="Arial" w:hAnsi="Arial" w:cs="Arial"/>
          <w:sz w:val="24"/>
          <w:szCs w:val="24"/>
        </w:rPr>
        <w:t xml:space="preserve"> </w:t>
      </w:r>
      <w:r w:rsidR="00877811">
        <w:rPr>
          <w:rFonts w:ascii="Arial" w:hAnsi="Arial" w:cs="Arial"/>
          <w:sz w:val="24"/>
          <w:szCs w:val="24"/>
        </w:rPr>
        <w:t>Al respecto,</w:t>
      </w:r>
      <w:r w:rsidRPr="00BC4D80">
        <w:rPr>
          <w:rFonts w:ascii="Arial" w:hAnsi="Arial" w:cs="Arial"/>
          <w:sz w:val="24"/>
          <w:szCs w:val="24"/>
        </w:rPr>
        <w:t xml:space="preserve"> se verificó que esta coordinación cumpliera con los requisitos que marca</w:t>
      </w:r>
      <w:r w:rsidR="00AE28B3">
        <w:rPr>
          <w:rFonts w:ascii="Arial" w:hAnsi="Arial" w:cs="Arial"/>
          <w:sz w:val="24"/>
          <w:szCs w:val="24"/>
        </w:rPr>
        <w:t xml:space="preserve"> la Ley de Coordinación Fiscal f</w:t>
      </w:r>
      <w:r w:rsidRPr="00BC4D80">
        <w:rPr>
          <w:rFonts w:ascii="Arial" w:hAnsi="Arial" w:cs="Arial"/>
          <w:sz w:val="24"/>
          <w:szCs w:val="24"/>
        </w:rPr>
        <w:t xml:space="preserve">ederal. </w:t>
      </w:r>
    </w:p>
    <w:p w:rsidR="00773FD3" w:rsidRDefault="00773FD3" w:rsidP="00BC4D80">
      <w:pPr>
        <w:spacing w:before="100" w:beforeAutospacing="1" w:after="100" w:afterAutospacing="1" w:line="240" w:lineRule="auto"/>
        <w:jc w:val="both"/>
        <w:rPr>
          <w:rFonts w:ascii="Arial" w:hAnsi="Arial" w:cs="Arial"/>
          <w:sz w:val="24"/>
          <w:szCs w:val="24"/>
        </w:rPr>
      </w:pPr>
      <w:r w:rsidRPr="00BC4D80">
        <w:rPr>
          <w:rFonts w:ascii="Arial" w:hAnsi="Arial" w:cs="Arial"/>
          <w:sz w:val="24"/>
          <w:szCs w:val="24"/>
        </w:rPr>
        <w:t xml:space="preserve">En cuanto al segundo impuesto, </w:t>
      </w:r>
      <w:r w:rsidR="0051631C">
        <w:rPr>
          <w:rFonts w:ascii="Arial" w:hAnsi="Arial" w:cs="Arial"/>
          <w:sz w:val="24"/>
          <w:szCs w:val="24"/>
        </w:rPr>
        <w:t xml:space="preserve">se </w:t>
      </w:r>
      <w:r w:rsidRPr="00BC4D80">
        <w:rPr>
          <w:rFonts w:ascii="Arial" w:hAnsi="Arial" w:cs="Arial"/>
          <w:sz w:val="24"/>
          <w:szCs w:val="24"/>
        </w:rPr>
        <w:t xml:space="preserve">grava con una </w:t>
      </w:r>
      <w:r w:rsidR="0051631C">
        <w:rPr>
          <w:rFonts w:ascii="Arial" w:hAnsi="Arial" w:cs="Arial"/>
          <w:sz w:val="24"/>
          <w:szCs w:val="24"/>
        </w:rPr>
        <w:t>tasa</w:t>
      </w:r>
      <w:r w:rsidRPr="00BC4D80">
        <w:rPr>
          <w:rFonts w:ascii="Arial" w:hAnsi="Arial" w:cs="Arial"/>
          <w:sz w:val="24"/>
          <w:szCs w:val="24"/>
        </w:rPr>
        <w:t xml:space="preserve"> de 0.14</w:t>
      </w:r>
      <w:r w:rsidR="0051631C">
        <w:rPr>
          <w:rFonts w:ascii="Arial" w:hAnsi="Arial" w:cs="Arial"/>
          <w:sz w:val="24"/>
          <w:szCs w:val="24"/>
        </w:rPr>
        <w:t xml:space="preserve"> unidades de medida y actualización</w:t>
      </w:r>
      <w:r w:rsidRPr="00BC4D80">
        <w:rPr>
          <w:rFonts w:ascii="Arial" w:hAnsi="Arial" w:cs="Arial"/>
          <w:sz w:val="24"/>
          <w:szCs w:val="24"/>
        </w:rPr>
        <w:t xml:space="preserve"> </w:t>
      </w:r>
      <w:r w:rsidR="0051631C">
        <w:rPr>
          <w:rFonts w:ascii="Arial" w:hAnsi="Arial" w:cs="Arial"/>
          <w:sz w:val="24"/>
          <w:szCs w:val="24"/>
        </w:rPr>
        <w:t>que equivalen a $</w:t>
      </w:r>
      <w:r w:rsidRPr="00BC4D80">
        <w:rPr>
          <w:rFonts w:ascii="Arial" w:hAnsi="Arial" w:cs="Arial"/>
          <w:sz w:val="24"/>
          <w:szCs w:val="24"/>
        </w:rPr>
        <w:t>11.62 por</w:t>
      </w:r>
      <w:r w:rsidR="0051631C">
        <w:rPr>
          <w:rFonts w:ascii="Arial" w:hAnsi="Arial" w:cs="Arial"/>
          <w:sz w:val="24"/>
          <w:szCs w:val="24"/>
        </w:rPr>
        <w:t xml:space="preserve"> cada</w:t>
      </w:r>
      <w:r w:rsidRPr="00BC4D80">
        <w:rPr>
          <w:rFonts w:ascii="Arial" w:hAnsi="Arial" w:cs="Arial"/>
          <w:sz w:val="24"/>
          <w:szCs w:val="24"/>
        </w:rPr>
        <w:t xml:space="preserve"> metro cúbico de</w:t>
      </w:r>
      <w:r w:rsidR="0051631C">
        <w:rPr>
          <w:rFonts w:ascii="Arial" w:hAnsi="Arial" w:cs="Arial"/>
          <w:sz w:val="24"/>
          <w:szCs w:val="24"/>
        </w:rPr>
        <w:t xml:space="preserve"> material</w:t>
      </w:r>
      <w:r w:rsidR="0001418D">
        <w:rPr>
          <w:rFonts w:ascii="Arial" w:hAnsi="Arial" w:cs="Arial"/>
          <w:sz w:val="24"/>
          <w:szCs w:val="24"/>
        </w:rPr>
        <w:t xml:space="preserve"> pétreo</w:t>
      </w:r>
      <w:r w:rsidR="0051631C">
        <w:rPr>
          <w:rFonts w:ascii="Arial" w:hAnsi="Arial" w:cs="Arial"/>
          <w:sz w:val="24"/>
          <w:szCs w:val="24"/>
        </w:rPr>
        <w:t xml:space="preserve"> extraído del</w:t>
      </w:r>
      <w:r w:rsidRPr="00BC4D80">
        <w:rPr>
          <w:rFonts w:ascii="Arial" w:hAnsi="Arial" w:cs="Arial"/>
          <w:sz w:val="24"/>
          <w:szCs w:val="24"/>
        </w:rPr>
        <w:t xml:space="preserve"> suelo y subsuelo</w:t>
      </w:r>
      <w:r w:rsidR="0051631C">
        <w:rPr>
          <w:rFonts w:ascii="Arial" w:hAnsi="Arial" w:cs="Arial"/>
          <w:sz w:val="24"/>
          <w:szCs w:val="24"/>
        </w:rPr>
        <w:t xml:space="preserve">. La regulación de este impuesto se realiza </w:t>
      </w:r>
      <w:r w:rsidR="00877811">
        <w:rPr>
          <w:rFonts w:ascii="Arial" w:hAnsi="Arial" w:cs="Arial"/>
          <w:sz w:val="24"/>
          <w:szCs w:val="24"/>
        </w:rPr>
        <w:t>sobre</w:t>
      </w:r>
      <w:r w:rsidR="0051631C">
        <w:rPr>
          <w:rFonts w:ascii="Arial" w:hAnsi="Arial" w:cs="Arial"/>
          <w:sz w:val="24"/>
          <w:szCs w:val="24"/>
        </w:rPr>
        <w:t xml:space="preserve"> la </w:t>
      </w:r>
      <w:r w:rsidRPr="00BC4D80">
        <w:rPr>
          <w:rFonts w:ascii="Arial" w:hAnsi="Arial" w:cs="Arial"/>
          <w:sz w:val="24"/>
          <w:szCs w:val="24"/>
        </w:rPr>
        <w:t>extracción</w:t>
      </w:r>
      <w:r w:rsidR="00F27F57">
        <w:rPr>
          <w:rFonts w:ascii="Arial" w:hAnsi="Arial" w:cs="Arial"/>
          <w:sz w:val="24"/>
          <w:szCs w:val="24"/>
        </w:rPr>
        <w:t xml:space="preserve"> y aprovechamiento</w:t>
      </w:r>
      <w:r w:rsidRPr="00BC4D80">
        <w:rPr>
          <w:rFonts w:ascii="Arial" w:hAnsi="Arial" w:cs="Arial"/>
          <w:sz w:val="24"/>
          <w:szCs w:val="24"/>
        </w:rPr>
        <w:t xml:space="preserve"> de materiales</w:t>
      </w:r>
      <w:r w:rsidR="0051631C">
        <w:rPr>
          <w:rFonts w:ascii="Arial" w:hAnsi="Arial" w:cs="Arial"/>
          <w:sz w:val="24"/>
          <w:szCs w:val="24"/>
        </w:rPr>
        <w:t xml:space="preserve"> pétreos</w:t>
      </w:r>
      <w:r w:rsidRPr="00BC4D80">
        <w:rPr>
          <w:rFonts w:ascii="Arial" w:hAnsi="Arial" w:cs="Arial"/>
          <w:sz w:val="24"/>
          <w:szCs w:val="24"/>
        </w:rPr>
        <w:t xml:space="preserve"> del suelo y subsuelo</w:t>
      </w:r>
      <w:r w:rsidR="0001418D">
        <w:rPr>
          <w:rFonts w:ascii="Arial" w:hAnsi="Arial" w:cs="Arial"/>
          <w:sz w:val="24"/>
          <w:szCs w:val="24"/>
        </w:rPr>
        <w:t>,</w:t>
      </w:r>
      <w:r w:rsidR="00877811">
        <w:rPr>
          <w:rFonts w:ascii="Arial" w:hAnsi="Arial" w:cs="Arial"/>
          <w:sz w:val="24"/>
          <w:szCs w:val="24"/>
        </w:rPr>
        <w:t xml:space="preserve"> ya que</w:t>
      </w:r>
      <w:r w:rsidRPr="00BC4D80">
        <w:rPr>
          <w:rFonts w:ascii="Arial" w:hAnsi="Arial" w:cs="Arial"/>
          <w:sz w:val="24"/>
          <w:szCs w:val="24"/>
        </w:rPr>
        <w:t xml:space="preserve"> sin</w:t>
      </w:r>
      <w:r w:rsidR="00877811">
        <w:rPr>
          <w:rFonts w:ascii="Arial" w:hAnsi="Arial" w:cs="Arial"/>
          <w:sz w:val="24"/>
          <w:szCs w:val="24"/>
        </w:rPr>
        <w:t xml:space="preserve"> el</w:t>
      </w:r>
      <w:r w:rsidRPr="00BC4D80">
        <w:rPr>
          <w:rFonts w:ascii="Arial" w:hAnsi="Arial" w:cs="Arial"/>
          <w:sz w:val="24"/>
          <w:szCs w:val="24"/>
        </w:rPr>
        <w:t xml:space="preserve"> control adecuado</w:t>
      </w:r>
      <w:r w:rsidR="0051631C">
        <w:rPr>
          <w:rFonts w:ascii="Arial" w:hAnsi="Arial" w:cs="Arial"/>
          <w:sz w:val="24"/>
          <w:szCs w:val="24"/>
        </w:rPr>
        <w:t>,</w:t>
      </w:r>
      <w:r w:rsidR="00F27F57">
        <w:rPr>
          <w:rFonts w:ascii="Arial" w:hAnsi="Arial" w:cs="Arial"/>
          <w:sz w:val="24"/>
          <w:szCs w:val="24"/>
        </w:rPr>
        <w:t xml:space="preserve"> puede ocasionar un impacto negativo en la calidad del medio ambiente </w:t>
      </w:r>
      <w:r w:rsidRPr="00BC4D80">
        <w:rPr>
          <w:rFonts w:ascii="Arial" w:hAnsi="Arial" w:cs="Arial"/>
          <w:sz w:val="24"/>
          <w:szCs w:val="24"/>
        </w:rPr>
        <w:t xml:space="preserve">del territorio estatal, </w:t>
      </w:r>
      <w:r w:rsidR="00F27F57">
        <w:rPr>
          <w:rFonts w:ascii="Arial" w:hAnsi="Arial" w:cs="Arial"/>
          <w:sz w:val="24"/>
          <w:szCs w:val="24"/>
        </w:rPr>
        <w:t xml:space="preserve">particularmente </w:t>
      </w:r>
      <w:r w:rsidR="0001418D">
        <w:rPr>
          <w:rFonts w:ascii="Arial" w:hAnsi="Arial" w:cs="Arial"/>
          <w:sz w:val="24"/>
          <w:szCs w:val="24"/>
        </w:rPr>
        <w:t xml:space="preserve">en </w:t>
      </w:r>
      <w:r w:rsidR="00F27F57">
        <w:rPr>
          <w:rFonts w:ascii="Arial" w:hAnsi="Arial" w:cs="Arial"/>
          <w:sz w:val="24"/>
          <w:szCs w:val="24"/>
        </w:rPr>
        <w:t>el</w:t>
      </w:r>
      <w:r w:rsidRPr="00BC4D80">
        <w:rPr>
          <w:rFonts w:ascii="Arial" w:hAnsi="Arial" w:cs="Arial"/>
          <w:sz w:val="24"/>
          <w:szCs w:val="24"/>
        </w:rPr>
        <w:t xml:space="preserve"> recurso</w:t>
      </w:r>
      <w:r w:rsidR="00F27F57">
        <w:rPr>
          <w:rFonts w:ascii="Arial" w:hAnsi="Arial" w:cs="Arial"/>
          <w:sz w:val="24"/>
          <w:szCs w:val="24"/>
        </w:rPr>
        <w:t xml:space="preserve"> natural</w:t>
      </w:r>
      <w:r w:rsidRPr="00BC4D80">
        <w:rPr>
          <w:rFonts w:ascii="Arial" w:hAnsi="Arial" w:cs="Arial"/>
          <w:sz w:val="24"/>
          <w:szCs w:val="24"/>
        </w:rPr>
        <w:t xml:space="preserve"> más valioso de Yucatán</w:t>
      </w:r>
      <w:r w:rsidR="00877811">
        <w:rPr>
          <w:rFonts w:ascii="Arial" w:hAnsi="Arial" w:cs="Arial"/>
          <w:sz w:val="24"/>
          <w:szCs w:val="24"/>
        </w:rPr>
        <w:t>,</w:t>
      </w:r>
      <w:r w:rsidR="00F27F57">
        <w:rPr>
          <w:rFonts w:ascii="Arial" w:hAnsi="Arial" w:cs="Arial"/>
          <w:sz w:val="24"/>
          <w:szCs w:val="24"/>
        </w:rPr>
        <w:t xml:space="preserve"> como </w:t>
      </w:r>
      <w:r w:rsidR="00877811">
        <w:rPr>
          <w:rFonts w:ascii="Arial" w:hAnsi="Arial" w:cs="Arial"/>
          <w:sz w:val="24"/>
          <w:szCs w:val="24"/>
        </w:rPr>
        <w:t xml:space="preserve">lo es </w:t>
      </w:r>
      <w:r w:rsidR="00F27F57">
        <w:rPr>
          <w:rFonts w:ascii="Arial" w:hAnsi="Arial" w:cs="Arial"/>
          <w:sz w:val="24"/>
          <w:szCs w:val="24"/>
        </w:rPr>
        <w:t>el</w:t>
      </w:r>
      <w:r w:rsidRPr="00BC4D80">
        <w:rPr>
          <w:rFonts w:ascii="Arial" w:hAnsi="Arial" w:cs="Arial"/>
          <w:sz w:val="24"/>
          <w:szCs w:val="24"/>
        </w:rPr>
        <w:t xml:space="preserve"> manto acuífero. </w:t>
      </w:r>
    </w:p>
    <w:p w:rsidR="00773FD3" w:rsidRPr="00BC4D80" w:rsidRDefault="00877811"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Ahora bien, con relación</w:t>
      </w:r>
      <w:r w:rsidR="00773FD3" w:rsidRPr="00BC4D80">
        <w:rPr>
          <w:rFonts w:ascii="Arial" w:hAnsi="Arial" w:cs="Arial"/>
          <w:sz w:val="24"/>
          <w:szCs w:val="24"/>
        </w:rPr>
        <w:t xml:space="preserve"> </w:t>
      </w:r>
      <w:r w:rsidR="00271069">
        <w:rPr>
          <w:rFonts w:ascii="Arial" w:hAnsi="Arial" w:cs="Arial"/>
          <w:sz w:val="24"/>
          <w:szCs w:val="24"/>
        </w:rPr>
        <w:t>al</w:t>
      </w:r>
      <w:r w:rsidR="00773FD3" w:rsidRPr="00BC4D80">
        <w:rPr>
          <w:rFonts w:ascii="Arial" w:hAnsi="Arial" w:cs="Arial"/>
          <w:sz w:val="24"/>
          <w:szCs w:val="24"/>
        </w:rPr>
        <w:t xml:space="preserve"> </w:t>
      </w:r>
      <w:r w:rsidR="00271069">
        <w:rPr>
          <w:rFonts w:ascii="Arial" w:hAnsi="Arial" w:cs="Arial"/>
          <w:sz w:val="24"/>
          <w:szCs w:val="24"/>
        </w:rPr>
        <w:t>i</w:t>
      </w:r>
      <w:r w:rsidR="00773FD3" w:rsidRPr="00BC4D80">
        <w:rPr>
          <w:rFonts w:ascii="Arial" w:hAnsi="Arial" w:cs="Arial"/>
          <w:sz w:val="24"/>
          <w:szCs w:val="24"/>
        </w:rPr>
        <w:t xml:space="preserve">mpuesto </w:t>
      </w:r>
      <w:r w:rsidR="00271069">
        <w:rPr>
          <w:rFonts w:ascii="Arial" w:hAnsi="Arial" w:cs="Arial"/>
          <w:sz w:val="24"/>
          <w:szCs w:val="24"/>
        </w:rPr>
        <w:t>a las e</w:t>
      </w:r>
      <w:r w:rsidR="00773FD3" w:rsidRPr="00BC4D80">
        <w:rPr>
          <w:rFonts w:ascii="Arial" w:hAnsi="Arial" w:cs="Arial"/>
          <w:sz w:val="24"/>
          <w:szCs w:val="24"/>
        </w:rPr>
        <w:t xml:space="preserve">rogaciones en </w:t>
      </w:r>
      <w:r w:rsidR="00271069">
        <w:rPr>
          <w:rFonts w:ascii="Arial" w:hAnsi="Arial" w:cs="Arial"/>
          <w:sz w:val="24"/>
          <w:szCs w:val="24"/>
        </w:rPr>
        <w:t>j</w:t>
      </w:r>
      <w:r w:rsidR="00773FD3" w:rsidRPr="00BC4D80">
        <w:rPr>
          <w:rFonts w:ascii="Arial" w:hAnsi="Arial" w:cs="Arial"/>
          <w:sz w:val="24"/>
          <w:szCs w:val="24"/>
        </w:rPr>
        <w:t xml:space="preserve">uegos y </w:t>
      </w:r>
      <w:r w:rsidR="00271069">
        <w:rPr>
          <w:rFonts w:ascii="Arial" w:hAnsi="Arial" w:cs="Arial"/>
          <w:sz w:val="24"/>
          <w:szCs w:val="24"/>
        </w:rPr>
        <w:t>c</w:t>
      </w:r>
      <w:r w:rsidR="00773FD3" w:rsidRPr="00BC4D80">
        <w:rPr>
          <w:rFonts w:ascii="Arial" w:hAnsi="Arial" w:cs="Arial"/>
          <w:sz w:val="24"/>
          <w:szCs w:val="24"/>
        </w:rPr>
        <w:t xml:space="preserve">oncursos, la tasa </w:t>
      </w:r>
      <w:r w:rsidR="00271069">
        <w:rPr>
          <w:rFonts w:ascii="Arial" w:hAnsi="Arial" w:cs="Arial"/>
          <w:sz w:val="24"/>
          <w:szCs w:val="24"/>
        </w:rPr>
        <w:t>se modific</w:t>
      </w:r>
      <w:r>
        <w:rPr>
          <w:rFonts w:ascii="Arial" w:hAnsi="Arial" w:cs="Arial"/>
          <w:sz w:val="24"/>
          <w:szCs w:val="24"/>
        </w:rPr>
        <w:t>ó</w:t>
      </w:r>
      <w:r w:rsidR="00271069">
        <w:rPr>
          <w:rFonts w:ascii="Arial" w:hAnsi="Arial" w:cs="Arial"/>
          <w:sz w:val="24"/>
          <w:szCs w:val="24"/>
        </w:rPr>
        <w:t xml:space="preserve"> de</w:t>
      </w:r>
      <w:r w:rsidR="00773FD3" w:rsidRPr="00BC4D80">
        <w:rPr>
          <w:rFonts w:ascii="Arial" w:hAnsi="Arial" w:cs="Arial"/>
          <w:sz w:val="24"/>
          <w:szCs w:val="24"/>
        </w:rPr>
        <w:t xml:space="preserve"> un 10% a un 15% </w:t>
      </w:r>
      <w:r w:rsidR="00271069">
        <w:rPr>
          <w:rFonts w:ascii="Arial" w:hAnsi="Arial" w:cs="Arial"/>
          <w:sz w:val="24"/>
          <w:szCs w:val="24"/>
        </w:rPr>
        <w:t>sobre e</w:t>
      </w:r>
      <w:r w:rsidR="00271069" w:rsidRPr="00BE03CE">
        <w:rPr>
          <w:rFonts w:ascii="Arial" w:hAnsi="Arial" w:cs="Arial"/>
          <w:sz w:val="24"/>
        </w:rPr>
        <w:t>l monto de las erogaciones a favor de la persona física o moral que opere el establecimiento, ya sean pagos en efectivo, en especie o por cualquier otro medio que permita participar en los juegos o concursos</w:t>
      </w:r>
      <w:r w:rsidR="00271069">
        <w:rPr>
          <w:rFonts w:ascii="Arial" w:hAnsi="Arial" w:cs="Arial"/>
          <w:sz w:val="24"/>
        </w:rPr>
        <w:t xml:space="preserve">. El objeto del incremento es </w:t>
      </w:r>
      <w:r w:rsidR="00773FD3" w:rsidRPr="00BC4D80">
        <w:rPr>
          <w:rFonts w:ascii="Arial" w:hAnsi="Arial" w:cs="Arial"/>
          <w:sz w:val="24"/>
          <w:szCs w:val="24"/>
        </w:rPr>
        <w:t>combatir los niveles de ludopatía en Yucatán.</w:t>
      </w:r>
    </w:p>
    <w:p w:rsidR="006450E1" w:rsidRDefault="00B3762E"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 incluye la recaudación de nuevos </w:t>
      </w:r>
      <w:r w:rsidR="00773FD3" w:rsidRPr="00BC4D80">
        <w:rPr>
          <w:rFonts w:ascii="Arial" w:hAnsi="Arial" w:cs="Arial"/>
          <w:sz w:val="24"/>
          <w:szCs w:val="24"/>
        </w:rPr>
        <w:t>derechos</w:t>
      </w:r>
      <w:r>
        <w:rPr>
          <w:rFonts w:ascii="Arial" w:hAnsi="Arial" w:cs="Arial"/>
          <w:sz w:val="24"/>
          <w:szCs w:val="24"/>
        </w:rPr>
        <w:t>, los cuales corresponden a</w:t>
      </w:r>
      <w:r w:rsidR="00773FD3" w:rsidRPr="00BC4D80">
        <w:rPr>
          <w:rFonts w:ascii="Arial" w:hAnsi="Arial" w:cs="Arial"/>
          <w:sz w:val="24"/>
          <w:szCs w:val="24"/>
        </w:rPr>
        <w:t xml:space="preserve"> servicios </w:t>
      </w:r>
      <w:r>
        <w:rPr>
          <w:rFonts w:ascii="Arial" w:hAnsi="Arial" w:cs="Arial"/>
          <w:sz w:val="24"/>
          <w:szCs w:val="24"/>
        </w:rPr>
        <w:t>que prestarán</w:t>
      </w:r>
      <w:r w:rsidR="00773FD3" w:rsidRPr="00BC4D80">
        <w:rPr>
          <w:rFonts w:ascii="Arial" w:hAnsi="Arial" w:cs="Arial"/>
          <w:sz w:val="24"/>
          <w:szCs w:val="24"/>
        </w:rPr>
        <w:t xml:space="preserve"> la Secretaría de Seguridad Pública</w:t>
      </w:r>
      <w:r w:rsidR="00127D14">
        <w:rPr>
          <w:rFonts w:ascii="Arial" w:hAnsi="Arial" w:cs="Arial"/>
          <w:sz w:val="24"/>
          <w:szCs w:val="24"/>
        </w:rPr>
        <w:t xml:space="preserve"> y</w:t>
      </w:r>
      <w:r w:rsidR="00773FD3" w:rsidRPr="00BC4D80">
        <w:rPr>
          <w:rFonts w:ascii="Arial" w:hAnsi="Arial" w:cs="Arial"/>
          <w:sz w:val="24"/>
          <w:szCs w:val="24"/>
        </w:rPr>
        <w:t xml:space="preserve"> el Instituto de</w:t>
      </w:r>
      <w:r>
        <w:rPr>
          <w:rFonts w:ascii="Arial" w:hAnsi="Arial" w:cs="Arial"/>
          <w:sz w:val="24"/>
          <w:szCs w:val="24"/>
        </w:rPr>
        <w:t xml:space="preserve"> Movilidad y Desarrollo Urbano T</w:t>
      </w:r>
      <w:r w:rsidR="00773FD3" w:rsidRPr="00BC4D80">
        <w:rPr>
          <w:rFonts w:ascii="Arial" w:hAnsi="Arial" w:cs="Arial"/>
          <w:sz w:val="24"/>
          <w:szCs w:val="24"/>
        </w:rPr>
        <w:t xml:space="preserve">erritorial. </w:t>
      </w:r>
      <w:r>
        <w:rPr>
          <w:rFonts w:ascii="Arial" w:hAnsi="Arial" w:cs="Arial"/>
          <w:sz w:val="24"/>
          <w:szCs w:val="24"/>
        </w:rPr>
        <w:t>Los derechos que se recaudarán por la Secretaría de Seguridad Pública están orie</w:t>
      </w:r>
      <w:r w:rsidR="00773FD3" w:rsidRPr="00BC4D80">
        <w:rPr>
          <w:rFonts w:ascii="Arial" w:hAnsi="Arial" w:cs="Arial"/>
          <w:sz w:val="24"/>
          <w:szCs w:val="24"/>
        </w:rPr>
        <w:t>ntado</w:t>
      </w:r>
      <w:r>
        <w:rPr>
          <w:rFonts w:ascii="Arial" w:hAnsi="Arial" w:cs="Arial"/>
          <w:sz w:val="24"/>
          <w:szCs w:val="24"/>
        </w:rPr>
        <w:t>s</w:t>
      </w:r>
      <w:r w:rsidR="00773FD3" w:rsidRPr="00BC4D80">
        <w:rPr>
          <w:rFonts w:ascii="Arial" w:hAnsi="Arial" w:cs="Arial"/>
          <w:sz w:val="24"/>
          <w:szCs w:val="24"/>
        </w:rPr>
        <w:t xml:space="preserve"> a regular a las empresas que prestan el servi</w:t>
      </w:r>
      <w:r>
        <w:rPr>
          <w:rFonts w:ascii="Arial" w:hAnsi="Arial" w:cs="Arial"/>
          <w:sz w:val="24"/>
          <w:szCs w:val="24"/>
        </w:rPr>
        <w:t>cio de seguridad privada en el e</w:t>
      </w:r>
      <w:r w:rsidR="00773FD3" w:rsidRPr="00BC4D80">
        <w:rPr>
          <w:rFonts w:ascii="Arial" w:hAnsi="Arial" w:cs="Arial"/>
          <w:sz w:val="24"/>
          <w:szCs w:val="24"/>
        </w:rPr>
        <w:t xml:space="preserve">stado así como </w:t>
      </w:r>
      <w:r>
        <w:rPr>
          <w:rFonts w:ascii="Arial" w:hAnsi="Arial" w:cs="Arial"/>
          <w:sz w:val="24"/>
          <w:szCs w:val="24"/>
        </w:rPr>
        <w:t>por la</w:t>
      </w:r>
      <w:r w:rsidR="00773FD3" w:rsidRPr="00BC4D80">
        <w:rPr>
          <w:rFonts w:ascii="Arial" w:hAnsi="Arial" w:cs="Arial"/>
          <w:sz w:val="24"/>
          <w:szCs w:val="24"/>
        </w:rPr>
        <w:t xml:space="preserve"> validación de</w:t>
      </w:r>
      <w:r>
        <w:rPr>
          <w:rFonts w:ascii="Arial" w:hAnsi="Arial" w:cs="Arial"/>
          <w:sz w:val="24"/>
          <w:szCs w:val="24"/>
        </w:rPr>
        <w:t xml:space="preserve"> los consultorios </w:t>
      </w:r>
      <w:r w:rsidR="00773FD3" w:rsidRPr="00BC4D80">
        <w:rPr>
          <w:rFonts w:ascii="Arial" w:hAnsi="Arial" w:cs="Arial"/>
          <w:sz w:val="24"/>
          <w:szCs w:val="24"/>
        </w:rPr>
        <w:t>médicos</w:t>
      </w:r>
      <w:r>
        <w:rPr>
          <w:rFonts w:ascii="Arial" w:hAnsi="Arial" w:cs="Arial"/>
          <w:sz w:val="24"/>
          <w:szCs w:val="24"/>
        </w:rPr>
        <w:t xml:space="preserve"> y</w:t>
      </w:r>
      <w:r w:rsidR="00773FD3" w:rsidRPr="00BC4D80">
        <w:rPr>
          <w:rFonts w:ascii="Arial" w:hAnsi="Arial" w:cs="Arial"/>
          <w:sz w:val="24"/>
          <w:szCs w:val="24"/>
        </w:rPr>
        <w:t xml:space="preserve"> psicológicos</w:t>
      </w:r>
      <w:r>
        <w:rPr>
          <w:rFonts w:ascii="Arial" w:hAnsi="Arial" w:cs="Arial"/>
          <w:sz w:val="24"/>
          <w:szCs w:val="24"/>
        </w:rPr>
        <w:t xml:space="preserve">, laboratorios clínicos y de los centros de capacitación y adiestramiento, encargados de aplicar exámenes y cursos </w:t>
      </w:r>
      <w:r w:rsidR="00773FD3" w:rsidRPr="00BC4D80">
        <w:rPr>
          <w:rFonts w:ascii="Arial" w:hAnsi="Arial" w:cs="Arial"/>
          <w:sz w:val="24"/>
          <w:szCs w:val="24"/>
        </w:rPr>
        <w:t xml:space="preserve">al personal que labora en </w:t>
      </w:r>
      <w:r>
        <w:rPr>
          <w:rFonts w:ascii="Arial" w:hAnsi="Arial" w:cs="Arial"/>
          <w:sz w:val="24"/>
          <w:szCs w:val="24"/>
        </w:rPr>
        <w:t>esas</w:t>
      </w:r>
      <w:r w:rsidR="00773FD3" w:rsidRPr="00BC4D80">
        <w:rPr>
          <w:rFonts w:ascii="Arial" w:hAnsi="Arial" w:cs="Arial"/>
          <w:sz w:val="24"/>
          <w:szCs w:val="24"/>
        </w:rPr>
        <w:t xml:space="preserve"> empresas. </w:t>
      </w:r>
    </w:p>
    <w:p w:rsidR="00773FD3" w:rsidRPr="00BC4D80" w:rsidRDefault="00877811"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Por lo que se refiere</w:t>
      </w:r>
      <w:r w:rsidR="00B3762E">
        <w:rPr>
          <w:rFonts w:ascii="Arial" w:hAnsi="Arial" w:cs="Arial"/>
          <w:sz w:val="24"/>
          <w:szCs w:val="24"/>
        </w:rPr>
        <w:t xml:space="preserve"> </w:t>
      </w:r>
      <w:r w:rsidR="00127D14">
        <w:rPr>
          <w:rFonts w:ascii="Arial" w:hAnsi="Arial" w:cs="Arial"/>
          <w:sz w:val="24"/>
          <w:szCs w:val="24"/>
        </w:rPr>
        <w:t>a</w:t>
      </w:r>
      <w:r w:rsidR="00B3762E">
        <w:rPr>
          <w:rFonts w:ascii="Arial" w:hAnsi="Arial" w:cs="Arial"/>
          <w:sz w:val="24"/>
          <w:szCs w:val="24"/>
        </w:rPr>
        <w:t xml:space="preserve"> los</w:t>
      </w:r>
      <w:r w:rsidR="00773FD3" w:rsidRPr="00BC4D80">
        <w:rPr>
          <w:rFonts w:ascii="Arial" w:hAnsi="Arial" w:cs="Arial"/>
          <w:sz w:val="24"/>
          <w:szCs w:val="24"/>
        </w:rPr>
        <w:t xml:space="preserve"> derecho</w:t>
      </w:r>
      <w:r w:rsidR="00B3762E">
        <w:rPr>
          <w:rFonts w:ascii="Arial" w:hAnsi="Arial" w:cs="Arial"/>
          <w:sz w:val="24"/>
          <w:szCs w:val="24"/>
        </w:rPr>
        <w:t>s</w:t>
      </w:r>
      <w:r w:rsidR="00773FD3" w:rsidRPr="00BC4D80">
        <w:rPr>
          <w:rFonts w:ascii="Arial" w:hAnsi="Arial" w:cs="Arial"/>
          <w:sz w:val="24"/>
          <w:szCs w:val="24"/>
        </w:rPr>
        <w:t xml:space="preserve"> por los servicios que presta</w:t>
      </w:r>
      <w:r w:rsidR="00B3762E">
        <w:rPr>
          <w:rFonts w:ascii="Arial" w:hAnsi="Arial" w:cs="Arial"/>
          <w:sz w:val="24"/>
          <w:szCs w:val="24"/>
        </w:rPr>
        <w:t>rá</w:t>
      </w:r>
      <w:r w:rsidR="00773FD3" w:rsidRPr="00BC4D80">
        <w:rPr>
          <w:rFonts w:ascii="Arial" w:hAnsi="Arial" w:cs="Arial"/>
          <w:sz w:val="24"/>
          <w:szCs w:val="24"/>
        </w:rPr>
        <w:t xml:space="preserve"> el </w:t>
      </w:r>
      <w:r w:rsidR="00773FD3" w:rsidRPr="001E503A">
        <w:rPr>
          <w:rFonts w:ascii="Arial" w:hAnsi="Arial" w:cs="Arial"/>
          <w:sz w:val="24"/>
          <w:szCs w:val="24"/>
        </w:rPr>
        <w:t xml:space="preserve">Instituto de Movilidad y Desarrollo Urbano </w:t>
      </w:r>
      <w:r w:rsidR="00B3762E" w:rsidRPr="001E503A">
        <w:rPr>
          <w:rFonts w:ascii="Arial" w:hAnsi="Arial" w:cs="Arial"/>
          <w:sz w:val="24"/>
          <w:szCs w:val="24"/>
        </w:rPr>
        <w:t>T</w:t>
      </w:r>
      <w:r w:rsidR="00773FD3" w:rsidRPr="001E503A">
        <w:rPr>
          <w:rFonts w:ascii="Arial" w:hAnsi="Arial" w:cs="Arial"/>
          <w:sz w:val="24"/>
          <w:szCs w:val="24"/>
        </w:rPr>
        <w:t xml:space="preserve">erritorial, se incorporan </w:t>
      </w:r>
      <w:r w:rsidR="00567AB5">
        <w:rPr>
          <w:rFonts w:ascii="Arial" w:hAnsi="Arial" w:cs="Arial"/>
          <w:sz w:val="24"/>
          <w:szCs w:val="24"/>
        </w:rPr>
        <w:t xml:space="preserve">los relacionados con la </w:t>
      </w:r>
      <w:r w:rsidR="00127D14">
        <w:rPr>
          <w:rFonts w:ascii="Arial" w:hAnsi="Arial" w:cs="Arial"/>
          <w:sz w:val="24"/>
          <w:szCs w:val="24"/>
        </w:rPr>
        <w:t xml:space="preserve">evaluación y resolución de las solicitudes para obtener la </w:t>
      </w:r>
      <w:r w:rsidR="00773FD3" w:rsidRPr="001E503A">
        <w:rPr>
          <w:rFonts w:ascii="Arial" w:hAnsi="Arial" w:cs="Arial"/>
          <w:sz w:val="24"/>
          <w:szCs w:val="24"/>
        </w:rPr>
        <w:t>congruencia de uso de suelo</w:t>
      </w:r>
      <w:r w:rsidR="00127D14">
        <w:rPr>
          <w:rFonts w:ascii="Arial" w:hAnsi="Arial" w:cs="Arial"/>
          <w:sz w:val="24"/>
          <w:szCs w:val="24"/>
        </w:rPr>
        <w:t>; los derechos para obtener la in</w:t>
      </w:r>
      <w:r w:rsidR="00773FD3" w:rsidRPr="001E503A">
        <w:rPr>
          <w:rFonts w:ascii="Arial" w:hAnsi="Arial" w:cs="Arial"/>
          <w:sz w:val="24"/>
          <w:szCs w:val="24"/>
        </w:rPr>
        <w:t>corporación de terrenos ejidales a la zona urbana</w:t>
      </w:r>
      <w:r w:rsidR="00127D14">
        <w:rPr>
          <w:rFonts w:ascii="Arial" w:hAnsi="Arial" w:cs="Arial"/>
          <w:sz w:val="24"/>
          <w:szCs w:val="24"/>
        </w:rPr>
        <w:t xml:space="preserve">; así como </w:t>
      </w:r>
      <w:r w:rsidR="00773FD3" w:rsidRPr="001E503A">
        <w:rPr>
          <w:rFonts w:ascii="Arial" w:hAnsi="Arial" w:cs="Arial"/>
          <w:sz w:val="24"/>
          <w:szCs w:val="24"/>
        </w:rPr>
        <w:t>los derechos relacionados con  la verificación de emisión de contaminantes de vehículos automotores d</w:t>
      </w:r>
      <w:r w:rsidR="00773FD3" w:rsidRPr="00BC4D80">
        <w:rPr>
          <w:rFonts w:ascii="Arial" w:hAnsi="Arial" w:cs="Arial"/>
          <w:sz w:val="24"/>
          <w:szCs w:val="24"/>
        </w:rPr>
        <w:t>estinados al transporte público de pasajeros.</w:t>
      </w:r>
    </w:p>
    <w:p w:rsidR="00773FD3" w:rsidRPr="00BC4D80" w:rsidRDefault="00A7720B"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Asimismo, se actualiza</w:t>
      </w:r>
      <w:r w:rsidR="00773FD3" w:rsidRPr="00BC4D80">
        <w:rPr>
          <w:rFonts w:ascii="Arial" w:hAnsi="Arial" w:cs="Arial"/>
          <w:sz w:val="24"/>
          <w:szCs w:val="24"/>
        </w:rPr>
        <w:t xml:space="preserve"> el costo de</w:t>
      </w:r>
      <w:r>
        <w:rPr>
          <w:rFonts w:ascii="Arial" w:hAnsi="Arial" w:cs="Arial"/>
          <w:sz w:val="24"/>
          <w:szCs w:val="24"/>
        </w:rPr>
        <w:t xml:space="preserve"> algunos derechos como el de los servicios que presta el Patronato de las Unidades de Servicios Culturales y Turísticos del Estado de Yucatán, en cuanto a </w:t>
      </w:r>
      <w:r w:rsidR="00773FD3" w:rsidRPr="00BC4D80">
        <w:rPr>
          <w:rFonts w:ascii="Arial" w:hAnsi="Arial" w:cs="Arial"/>
          <w:sz w:val="24"/>
          <w:szCs w:val="24"/>
        </w:rPr>
        <w:t xml:space="preserve">los paradores turísticos de Chichen Itzá, Uxmal, Ek Balam y Dzibilchaltún. </w:t>
      </w:r>
      <w:r>
        <w:rPr>
          <w:rFonts w:ascii="Arial" w:hAnsi="Arial" w:cs="Arial"/>
          <w:sz w:val="24"/>
          <w:szCs w:val="24"/>
        </w:rPr>
        <w:t xml:space="preserve">Lo </w:t>
      </w:r>
      <w:r w:rsidR="00567AB5">
        <w:rPr>
          <w:rFonts w:ascii="Arial" w:hAnsi="Arial" w:cs="Arial"/>
          <w:sz w:val="24"/>
          <w:szCs w:val="24"/>
        </w:rPr>
        <w:t xml:space="preserve">anterior, en razón de </w:t>
      </w:r>
      <w:r>
        <w:rPr>
          <w:rFonts w:ascii="Arial" w:hAnsi="Arial" w:cs="Arial"/>
          <w:sz w:val="24"/>
          <w:szCs w:val="24"/>
        </w:rPr>
        <w:t>la</w:t>
      </w:r>
      <w:r w:rsidR="00567AB5">
        <w:rPr>
          <w:rFonts w:ascii="Arial" w:hAnsi="Arial" w:cs="Arial"/>
          <w:sz w:val="24"/>
          <w:szCs w:val="24"/>
        </w:rPr>
        <w:t xml:space="preserve"> gran</w:t>
      </w:r>
      <w:r w:rsidR="00773FD3" w:rsidRPr="00BC4D80">
        <w:rPr>
          <w:rFonts w:ascii="Arial" w:hAnsi="Arial" w:cs="Arial"/>
          <w:sz w:val="24"/>
          <w:szCs w:val="24"/>
        </w:rPr>
        <w:t xml:space="preserve"> afluencia de turistas, lo que incrementa los costos para brindar el servicio. Cabe mencionar, que la actualización</w:t>
      </w:r>
      <w:r>
        <w:rPr>
          <w:rFonts w:ascii="Arial" w:hAnsi="Arial" w:cs="Arial"/>
          <w:sz w:val="24"/>
          <w:szCs w:val="24"/>
        </w:rPr>
        <w:t xml:space="preserve"> del costo de los derechos</w:t>
      </w:r>
      <w:r w:rsidR="00773FD3" w:rsidRPr="00BC4D80">
        <w:rPr>
          <w:rFonts w:ascii="Arial" w:hAnsi="Arial" w:cs="Arial"/>
          <w:sz w:val="24"/>
          <w:szCs w:val="24"/>
        </w:rPr>
        <w:t xml:space="preserve"> no impactará </w:t>
      </w:r>
      <w:r>
        <w:rPr>
          <w:rFonts w:ascii="Arial" w:hAnsi="Arial" w:cs="Arial"/>
          <w:sz w:val="24"/>
          <w:szCs w:val="24"/>
        </w:rPr>
        <w:t>a</w:t>
      </w:r>
      <w:r w:rsidR="00773FD3" w:rsidRPr="00BC4D80">
        <w:rPr>
          <w:rFonts w:ascii="Arial" w:hAnsi="Arial" w:cs="Arial"/>
          <w:sz w:val="24"/>
          <w:szCs w:val="24"/>
        </w:rPr>
        <w:t xml:space="preserve"> los turistas nacionales</w:t>
      </w:r>
      <w:r>
        <w:rPr>
          <w:rFonts w:ascii="Arial" w:hAnsi="Arial" w:cs="Arial"/>
          <w:sz w:val="24"/>
          <w:szCs w:val="24"/>
        </w:rPr>
        <w:t xml:space="preserve">, en virtud de que la afectación se dirige únicamente a los </w:t>
      </w:r>
      <w:r w:rsidR="00773FD3" w:rsidRPr="00BC4D80">
        <w:rPr>
          <w:rFonts w:ascii="Arial" w:hAnsi="Arial" w:cs="Arial"/>
          <w:sz w:val="24"/>
          <w:szCs w:val="24"/>
        </w:rPr>
        <w:t>turista</w:t>
      </w:r>
      <w:r>
        <w:rPr>
          <w:rFonts w:ascii="Arial" w:hAnsi="Arial" w:cs="Arial"/>
          <w:sz w:val="24"/>
          <w:szCs w:val="24"/>
        </w:rPr>
        <w:t>s</w:t>
      </w:r>
      <w:r w:rsidR="00773FD3" w:rsidRPr="00BC4D80">
        <w:rPr>
          <w:rFonts w:ascii="Arial" w:hAnsi="Arial" w:cs="Arial"/>
          <w:sz w:val="24"/>
          <w:szCs w:val="24"/>
        </w:rPr>
        <w:t xml:space="preserve"> extranjero</w:t>
      </w:r>
      <w:r>
        <w:rPr>
          <w:rFonts w:ascii="Arial" w:hAnsi="Arial" w:cs="Arial"/>
          <w:sz w:val="24"/>
          <w:szCs w:val="24"/>
        </w:rPr>
        <w:t>s, manteniéndose</w:t>
      </w:r>
      <w:r w:rsidR="00773FD3" w:rsidRPr="00BC4D80">
        <w:rPr>
          <w:rFonts w:ascii="Arial" w:hAnsi="Arial" w:cs="Arial"/>
          <w:sz w:val="24"/>
          <w:szCs w:val="24"/>
        </w:rPr>
        <w:t xml:space="preserve"> los beneficios sociales. </w:t>
      </w:r>
    </w:p>
    <w:p w:rsidR="00773FD3" w:rsidRPr="0061047D" w:rsidRDefault="00773FD3" w:rsidP="00BC4D80">
      <w:pPr>
        <w:spacing w:before="100" w:beforeAutospacing="1" w:after="100" w:afterAutospacing="1" w:line="240" w:lineRule="auto"/>
        <w:jc w:val="both"/>
        <w:rPr>
          <w:rFonts w:ascii="Arial" w:hAnsi="Arial" w:cs="Arial"/>
          <w:sz w:val="24"/>
          <w:szCs w:val="24"/>
        </w:rPr>
      </w:pPr>
      <w:r w:rsidRPr="0061047D">
        <w:rPr>
          <w:rFonts w:ascii="Arial" w:hAnsi="Arial" w:cs="Arial"/>
          <w:sz w:val="24"/>
          <w:szCs w:val="24"/>
        </w:rPr>
        <w:t>En este sentido, se plantea la actualización de los derechos por los servicios</w:t>
      </w:r>
      <w:r w:rsidR="00A84DBA" w:rsidRPr="0061047D">
        <w:rPr>
          <w:rFonts w:ascii="Arial" w:hAnsi="Arial" w:cs="Arial"/>
          <w:sz w:val="24"/>
          <w:szCs w:val="24"/>
        </w:rPr>
        <w:t xml:space="preserve"> que presta la Secretaría de Salud en cuanto a las</w:t>
      </w:r>
      <w:r w:rsidRPr="0061047D">
        <w:rPr>
          <w:rFonts w:ascii="Arial" w:hAnsi="Arial" w:cs="Arial"/>
          <w:sz w:val="24"/>
          <w:szCs w:val="24"/>
        </w:rPr>
        <w:t xml:space="preserve"> renovaciones de</w:t>
      </w:r>
      <w:r w:rsidR="00A84DBA" w:rsidRPr="0061047D">
        <w:rPr>
          <w:rFonts w:ascii="Arial" w:hAnsi="Arial" w:cs="Arial"/>
          <w:sz w:val="24"/>
          <w:szCs w:val="24"/>
        </w:rPr>
        <w:t xml:space="preserve"> las</w:t>
      </w:r>
      <w:r w:rsidRPr="0061047D">
        <w:rPr>
          <w:rFonts w:ascii="Arial" w:hAnsi="Arial" w:cs="Arial"/>
          <w:sz w:val="24"/>
          <w:szCs w:val="24"/>
        </w:rPr>
        <w:t xml:space="preserve"> determinaciones sanitarias para los giros </w:t>
      </w:r>
      <w:r w:rsidR="00A84DBA" w:rsidRPr="0061047D">
        <w:rPr>
          <w:rFonts w:ascii="Arial" w:hAnsi="Arial" w:cs="Arial"/>
          <w:sz w:val="24"/>
          <w:szCs w:val="24"/>
        </w:rPr>
        <w:t xml:space="preserve">comerciales </w:t>
      </w:r>
      <w:r w:rsidRPr="0061047D">
        <w:rPr>
          <w:rFonts w:ascii="Arial" w:hAnsi="Arial" w:cs="Arial"/>
          <w:sz w:val="24"/>
          <w:szCs w:val="24"/>
        </w:rPr>
        <w:t xml:space="preserve">que venden bebidas alcohólicas, </w:t>
      </w:r>
      <w:r w:rsidR="00A84DBA" w:rsidRPr="0061047D">
        <w:rPr>
          <w:rFonts w:ascii="Arial" w:hAnsi="Arial" w:cs="Arial"/>
          <w:sz w:val="24"/>
          <w:szCs w:val="24"/>
        </w:rPr>
        <w:t>en razón del</w:t>
      </w:r>
      <w:r w:rsidRPr="0061047D">
        <w:rPr>
          <w:rFonts w:ascii="Arial" w:hAnsi="Arial" w:cs="Arial"/>
          <w:sz w:val="24"/>
          <w:szCs w:val="24"/>
        </w:rPr>
        <w:t xml:space="preserve"> incremento exponencial </w:t>
      </w:r>
      <w:r w:rsidR="00A84DBA" w:rsidRPr="0061047D">
        <w:rPr>
          <w:rFonts w:ascii="Arial" w:hAnsi="Arial" w:cs="Arial"/>
          <w:sz w:val="24"/>
          <w:szCs w:val="24"/>
        </w:rPr>
        <w:t>en</w:t>
      </w:r>
      <w:r w:rsidRPr="0061047D">
        <w:rPr>
          <w:rFonts w:ascii="Arial" w:hAnsi="Arial" w:cs="Arial"/>
          <w:sz w:val="24"/>
          <w:szCs w:val="24"/>
        </w:rPr>
        <w:t xml:space="preserve"> este ramo.</w:t>
      </w:r>
    </w:p>
    <w:p w:rsidR="00773FD3" w:rsidRPr="0061047D" w:rsidRDefault="00567AB5" w:rsidP="00BC4D80">
      <w:pPr>
        <w:spacing w:before="100" w:beforeAutospacing="1" w:after="100" w:afterAutospacing="1" w:line="240" w:lineRule="auto"/>
        <w:jc w:val="both"/>
        <w:rPr>
          <w:rFonts w:ascii="Arial" w:hAnsi="Arial" w:cs="Arial"/>
          <w:sz w:val="24"/>
          <w:szCs w:val="24"/>
        </w:rPr>
      </w:pPr>
      <w:r>
        <w:rPr>
          <w:rFonts w:ascii="Arial" w:hAnsi="Arial" w:cs="Arial"/>
          <w:sz w:val="24"/>
          <w:szCs w:val="24"/>
        </w:rPr>
        <w:t>De igual forma</w:t>
      </w:r>
      <w:r w:rsidR="00F92E42">
        <w:rPr>
          <w:rFonts w:ascii="Arial" w:hAnsi="Arial" w:cs="Arial"/>
          <w:sz w:val="24"/>
          <w:szCs w:val="24"/>
        </w:rPr>
        <w:t>,</w:t>
      </w:r>
      <w:r w:rsidR="00773FD3" w:rsidRPr="0061047D">
        <w:rPr>
          <w:rFonts w:ascii="Arial" w:hAnsi="Arial" w:cs="Arial"/>
          <w:sz w:val="24"/>
          <w:szCs w:val="24"/>
        </w:rPr>
        <w:t xml:space="preserve"> se actualizaron los co</w:t>
      </w:r>
      <w:r w:rsidR="0061047D" w:rsidRPr="0061047D">
        <w:rPr>
          <w:rFonts w:ascii="Arial" w:hAnsi="Arial" w:cs="Arial"/>
          <w:sz w:val="24"/>
          <w:szCs w:val="24"/>
        </w:rPr>
        <w:t>s</w:t>
      </w:r>
      <w:r w:rsidR="0061047D">
        <w:rPr>
          <w:rFonts w:ascii="Arial" w:hAnsi="Arial" w:cs="Arial"/>
          <w:sz w:val="24"/>
          <w:szCs w:val="24"/>
        </w:rPr>
        <w:t>tos de los</w:t>
      </w:r>
      <w:r w:rsidR="00773FD3" w:rsidRPr="0061047D">
        <w:rPr>
          <w:rFonts w:ascii="Arial" w:hAnsi="Arial" w:cs="Arial"/>
          <w:sz w:val="24"/>
          <w:szCs w:val="24"/>
        </w:rPr>
        <w:t xml:space="preserve"> derechos correspondientes a</w:t>
      </w:r>
      <w:r w:rsidR="0061047D">
        <w:rPr>
          <w:rFonts w:ascii="Arial" w:hAnsi="Arial" w:cs="Arial"/>
          <w:sz w:val="24"/>
          <w:szCs w:val="24"/>
        </w:rPr>
        <w:t>:</w:t>
      </w:r>
      <w:r w:rsidR="00773FD3" w:rsidRPr="0061047D">
        <w:rPr>
          <w:rFonts w:ascii="Arial" w:hAnsi="Arial" w:cs="Arial"/>
          <w:sz w:val="24"/>
          <w:szCs w:val="24"/>
        </w:rPr>
        <w:t xml:space="preserve"> los </w:t>
      </w:r>
      <w:r w:rsidR="0061047D" w:rsidRPr="0061047D">
        <w:rPr>
          <w:rFonts w:ascii="Arial" w:hAnsi="Arial" w:cs="Arial"/>
          <w:sz w:val="24"/>
          <w:szCs w:val="24"/>
        </w:rPr>
        <w:t>servicios que prestan los f</w:t>
      </w:r>
      <w:r w:rsidR="00773FD3" w:rsidRPr="0061047D">
        <w:rPr>
          <w:rFonts w:ascii="Arial" w:hAnsi="Arial" w:cs="Arial"/>
          <w:sz w:val="24"/>
          <w:szCs w:val="24"/>
        </w:rPr>
        <w:t xml:space="preserve">edatarios </w:t>
      </w:r>
      <w:r w:rsidR="007532CE">
        <w:rPr>
          <w:rFonts w:ascii="Arial" w:hAnsi="Arial" w:cs="Arial"/>
          <w:sz w:val="24"/>
          <w:szCs w:val="24"/>
        </w:rPr>
        <w:t>a quienes el E</w:t>
      </w:r>
      <w:r w:rsidR="0061047D" w:rsidRPr="0061047D">
        <w:rPr>
          <w:rFonts w:ascii="Arial" w:hAnsi="Arial" w:cs="Arial"/>
          <w:sz w:val="24"/>
          <w:szCs w:val="24"/>
        </w:rPr>
        <w:t>stad</w:t>
      </w:r>
      <w:r w:rsidR="007532CE">
        <w:rPr>
          <w:rFonts w:ascii="Arial" w:hAnsi="Arial" w:cs="Arial"/>
          <w:sz w:val="24"/>
          <w:szCs w:val="24"/>
        </w:rPr>
        <w:t>o les haya concedido fe pública</w:t>
      </w:r>
      <w:r w:rsidR="00773FD3" w:rsidRPr="0061047D">
        <w:rPr>
          <w:rFonts w:ascii="Arial" w:hAnsi="Arial" w:cs="Arial"/>
          <w:sz w:val="24"/>
          <w:szCs w:val="24"/>
        </w:rPr>
        <w:t xml:space="preserve"> por escrituras o contratos otorgados ante </w:t>
      </w:r>
      <w:r w:rsidR="0061047D">
        <w:rPr>
          <w:rFonts w:ascii="Arial" w:hAnsi="Arial" w:cs="Arial"/>
          <w:sz w:val="24"/>
          <w:szCs w:val="24"/>
        </w:rPr>
        <w:t>estos</w:t>
      </w:r>
      <w:r w:rsidR="007532CE">
        <w:rPr>
          <w:rFonts w:ascii="Arial" w:hAnsi="Arial" w:cs="Arial"/>
          <w:sz w:val="24"/>
          <w:szCs w:val="24"/>
        </w:rPr>
        <w:t>, que</w:t>
      </w:r>
      <w:r w:rsidR="00773FD3" w:rsidRPr="0061047D">
        <w:rPr>
          <w:rFonts w:ascii="Arial" w:hAnsi="Arial" w:cs="Arial"/>
          <w:sz w:val="24"/>
          <w:szCs w:val="24"/>
        </w:rPr>
        <w:t xml:space="preserve"> contengan precio de </w:t>
      </w:r>
      <w:r w:rsidR="00773FD3" w:rsidRPr="0061047D">
        <w:rPr>
          <w:rFonts w:ascii="Arial" w:hAnsi="Arial" w:cs="Arial"/>
          <w:sz w:val="24"/>
          <w:szCs w:val="24"/>
        </w:rPr>
        <w:lastRenderedPageBreak/>
        <w:t>operación</w:t>
      </w:r>
      <w:r w:rsidR="0061047D">
        <w:rPr>
          <w:rFonts w:ascii="Arial" w:hAnsi="Arial" w:cs="Arial"/>
          <w:sz w:val="24"/>
          <w:szCs w:val="24"/>
        </w:rPr>
        <w:t>;</w:t>
      </w:r>
      <w:r>
        <w:rPr>
          <w:rFonts w:ascii="Arial" w:hAnsi="Arial" w:cs="Arial"/>
          <w:sz w:val="24"/>
          <w:szCs w:val="24"/>
        </w:rPr>
        <w:t xml:space="preserve"> y,</w:t>
      </w:r>
      <w:r w:rsidR="0061047D">
        <w:rPr>
          <w:rFonts w:ascii="Arial" w:hAnsi="Arial" w:cs="Arial"/>
          <w:sz w:val="24"/>
          <w:szCs w:val="24"/>
        </w:rPr>
        <w:t xml:space="preserve"> los servicios que presta la Dirección del </w:t>
      </w:r>
      <w:r w:rsidR="00773FD3" w:rsidRPr="0061047D">
        <w:rPr>
          <w:rFonts w:ascii="Arial" w:hAnsi="Arial" w:cs="Arial"/>
          <w:sz w:val="24"/>
          <w:szCs w:val="24"/>
        </w:rPr>
        <w:t>Registro Público de la Propiedad y el Comercio</w:t>
      </w:r>
      <w:r w:rsidR="0061047D">
        <w:rPr>
          <w:rFonts w:ascii="Arial" w:hAnsi="Arial" w:cs="Arial"/>
          <w:sz w:val="24"/>
          <w:szCs w:val="24"/>
        </w:rPr>
        <w:t>, en su</w:t>
      </w:r>
      <w:r w:rsidR="00773FD3" w:rsidRPr="0061047D">
        <w:rPr>
          <w:rFonts w:ascii="Arial" w:hAnsi="Arial" w:cs="Arial"/>
          <w:sz w:val="24"/>
          <w:szCs w:val="24"/>
        </w:rPr>
        <w:t xml:space="preserve"> sección de propiedad. </w:t>
      </w:r>
      <w:r w:rsidR="0061047D">
        <w:rPr>
          <w:rFonts w:ascii="Arial" w:hAnsi="Arial" w:cs="Arial"/>
          <w:sz w:val="24"/>
          <w:szCs w:val="24"/>
        </w:rPr>
        <w:t xml:space="preserve">Los ingresos obtenidos por el cobro de estos derechos </w:t>
      </w:r>
      <w:r w:rsidR="00773FD3" w:rsidRPr="0061047D">
        <w:rPr>
          <w:rFonts w:ascii="Arial" w:hAnsi="Arial" w:cs="Arial"/>
          <w:sz w:val="24"/>
          <w:szCs w:val="24"/>
        </w:rPr>
        <w:t xml:space="preserve">se canalizarán a la inversión en infraestructura para crear plataformas que permitan ampliar los servicios en línea que presta el Instituto de Seguridad Jurídica Patrimonial de Yucatán así como </w:t>
      </w:r>
      <w:r w:rsidR="00F92E42">
        <w:rPr>
          <w:rFonts w:ascii="Arial" w:hAnsi="Arial" w:cs="Arial"/>
          <w:sz w:val="24"/>
          <w:szCs w:val="24"/>
        </w:rPr>
        <w:t xml:space="preserve">la instauración de </w:t>
      </w:r>
      <w:r w:rsidR="00773FD3" w:rsidRPr="0061047D">
        <w:rPr>
          <w:rFonts w:ascii="Arial" w:hAnsi="Arial" w:cs="Arial"/>
          <w:sz w:val="24"/>
          <w:szCs w:val="24"/>
        </w:rPr>
        <w:t xml:space="preserve">una ventanilla única en diferentes municipios del </w:t>
      </w:r>
      <w:r w:rsidR="00F92E42">
        <w:rPr>
          <w:rFonts w:ascii="Arial" w:hAnsi="Arial" w:cs="Arial"/>
          <w:sz w:val="24"/>
          <w:szCs w:val="24"/>
        </w:rPr>
        <w:t>e</w:t>
      </w:r>
      <w:r w:rsidR="00773FD3" w:rsidRPr="0061047D">
        <w:rPr>
          <w:rFonts w:ascii="Arial" w:hAnsi="Arial" w:cs="Arial"/>
          <w:sz w:val="24"/>
          <w:szCs w:val="24"/>
        </w:rPr>
        <w:t>stado.</w:t>
      </w:r>
    </w:p>
    <w:p w:rsidR="00773FD3" w:rsidRPr="00C90556" w:rsidRDefault="00773FD3" w:rsidP="00BC4D80">
      <w:pPr>
        <w:spacing w:before="100" w:beforeAutospacing="1" w:after="100" w:afterAutospacing="1" w:line="240" w:lineRule="auto"/>
        <w:jc w:val="both"/>
        <w:rPr>
          <w:rFonts w:ascii="Arial" w:hAnsi="Arial" w:cs="Arial"/>
          <w:sz w:val="24"/>
          <w:szCs w:val="24"/>
        </w:rPr>
      </w:pPr>
      <w:r w:rsidRPr="00C90556">
        <w:rPr>
          <w:rFonts w:ascii="Arial" w:hAnsi="Arial" w:cs="Arial"/>
          <w:sz w:val="24"/>
          <w:szCs w:val="24"/>
        </w:rPr>
        <w:t>La actualización del</w:t>
      </w:r>
      <w:r w:rsidR="00BB4C48" w:rsidRPr="00C90556">
        <w:rPr>
          <w:rFonts w:ascii="Arial" w:hAnsi="Arial" w:cs="Arial"/>
          <w:sz w:val="24"/>
          <w:szCs w:val="24"/>
        </w:rPr>
        <w:t xml:space="preserve"> </w:t>
      </w:r>
      <w:r w:rsidR="00C90556" w:rsidRPr="00C90556">
        <w:rPr>
          <w:rFonts w:ascii="Arial" w:hAnsi="Arial" w:cs="Arial"/>
          <w:sz w:val="24"/>
          <w:szCs w:val="24"/>
        </w:rPr>
        <w:t>costo</w:t>
      </w:r>
      <w:r w:rsidR="00BB4C48" w:rsidRPr="00C90556">
        <w:rPr>
          <w:rFonts w:ascii="Arial" w:hAnsi="Arial" w:cs="Arial"/>
          <w:sz w:val="24"/>
          <w:szCs w:val="24"/>
        </w:rPr>
        <w:t xml:space="preserve"> de los</w:t>
      </w:r>
      <w:r w:rsidRPr="00C90556">
        <w:rPr>
          <w:rFonts w:ascii="Arial" w:hAnsi="Arial" w:cs="Arial"/>
          <w:sz w:val="24"/>
          <w:szCs w:val="24"/>
        </w:rPr>
        <w:t xml:space="preserve"> derecho</w:t>
      </w:r>
      <w:r w:rsidR="00BB4C48" w:rsidRPr="00C90556">
        <w:rPr>
          <w:rFonts w:ascii="Arial" w:hAnsi="Arial" w:cs="Arial"/>
          <w:sz w:val="24"/>
          <w:szCs w:val="24"/>
        </w:rPr>
        <w:t>s</w:t>
      </w:r>
      <w:r w:rsidRPr="00C90556">
        <w:rPr>
          <w:rFonts w:ascii="Arial" w:hAnsi="Arial" w:cs="Arial"/>
          <w:sz w:val="24"/>
          <w:szCs w:val="24"/>
        </w:rPr>
        <w:t xml:space="preserve"> por</w:t>
      </w:r>
      <w:r w:rsidR="00BB4C48" w:rsidRPr="00C90556">
        <w:rPr>
          <w:rFonts w:ascii="Arial" w:hAnsi="Arial" w:cs="Arial"/>
          <w:sz w:val="24"/>
          <w:szCs w:val="24"/>
        </w:rPr>
        <w:t xml:space="preserve"> los ser</w:t>
      </w:r>
      <w:r w:rsidR="00C90556" w:rsidRPr="00C90556">
        <w:rPr>
          <w:rFonts w:ascii="Arial" w:hAnsi="Arial" w:cs="Arial"/>
          <w:sz w:val="24"/>
          <w:szCs w:val="24"/>
        </w:rPr>
        <w:t>vicios que presta la Dirección del Registro Civil por la</w:t>
      </w:r>
      <w:r w:rsidRPr="00C90556">
        <w:rPr>
          <w:rFonts w:ascii="Arial" w:hAnsi="Arial" w:cs="Arial"/>
          <w:sz w:val="24"/>
          <w:szCs w:val="24"/>
        </w:rPr>
        <w:t xml:space="preserve"> </w:t>
      </w:r>
      <w:r w:rsidR="00C90556" w:rsidRPr="00C90556">
        <w:rPr>
          <w:rFonts w:ascii="Arial" w:hAnsi="Arial" w:cs="Arial"/>
          <w:sz w:val="24"/>
          <w:szCs w:val="24"/>
        </w:rPr>
        <w:t>c</w:t>
      </w:r>
      <w:r w:rsidRPr="00C90556">
        <w:rPr>
          <w:rFonts w:ascii="Arial" w:hAnsi="Arial" w:cs="Arial"/>
          <w:sz w:val="24"/>
          <w:szCs w:val="24"/>
        </w:rPr>
        <w:t xml:space="preserve">ertificación de actas de otras </w:t>
      </w:r>
      <w:r w:rsidR="00C90556" w:rsidRPr="00C90556">
        <w:rPr>
          <w:rFonts w:ascii="Arial" w:hAnsi="Arial" w:cs="Arial"/>
          <w:sz w:val="24"/>
          <w:szCs w:val="24"/>
        </w:rPr>
        <w:t>e</w:t>
      </w:r>
      <w:r w:rsidRPr="00C90556">
        <w:rPr>
          <w:rFonts w:ascii="Arial" w:hAnsi="Arial" w:cs="Arial"/>
          <w:sz w:val="24"/>
          <w:szCs w:val="24"/>
        </w:rPr>
        <w:t xml:space="preserve">ntidades </w:t>
      </w:r>
      <w:r w:rsidR="00C90556" w:rsidRPr="00C90556">
        <w:rPr>
          <w:rFonts w:ascii="Arial" w:hAnsi="Arial" w:cs="Arial"/>
          <w:sz w:val="24"/>
          <w:szCs w:val="24"/>
        </w:rPr>
        <w:t>f</w:t>
      </w:r>
      <w:r w:rsidRPr="00C90556">
        <w:rPr>
          <w:rFonts w:ascii="Arial" w:hAnsi="Arial" w:cs="Arial"/>
          <w:sz w:val="24"/>
          <w:szCs w:val="24"/>
        </w:rPr>
        <w:t>ederativas</w:t>
      </w:r>
      <w:r w:rsidR="00C90556" w:rsidRPr="00C90556">
        <w:rPr>
          <w:rFonts w:ascii="Arial" w:hAnsi="Arial" w:cs="Arial"/>
          <w:sz w:val="24"/>
          <w:szCs w:val="24"/>
        </w:rPr>
        <w:t xml:space="preserve"> y de las certificaciones en línea</w:t>
      </w:r>
      <w:r w:rsidRPr="00C90556">
        <w:rPr>
          <w:rFonts w:ascii="Arial" w:hAnsi="Arial" w:cs="Arial"/>
          <w:sz w:val="24"/>
          <w:szCs w:val="24"/>
        </w:rPr>
        <w:t>, se invertirá</w:t>
      </w:r>
      <w:r w:rsidR="00C90556" w:rsidRPr="00C90556">
        <w:rPr>
          <w:rFonts w:ascii="Arial" w:hAnsi="Arial" w:cs="Arial"/>
          <w:sz w:val="24"/>
          <w:szCs w:val="24"/>
        </w:rPr>
        <w:t>n</w:t>
      </w:r>
      <w:r w:rsidRPr="00C90556">
        <w:rPr>
          <w:rFonts w:ascii="Arial" w:hAnsi="Arial" w:cs="Arial"/>
          <w:sz w:val="24"/>
          <w:szCs w:val="24"/>
        </w:rPr>
        <w:t xml:space="preserve"> en modernizar la inf</w:t>
      </w:r>
      <w:r w:rsidR="00567AB5">
        <w:rPr>
          <w:rFonts w:ascii="Arial" w:hAnsi="Arial" w:cs="Arial"/>
          <w:sz w:val="24"/>
          <w:szCs w:val="24"/>
        </w:rPr>
        <w:t>raestructura tecnológica, para</w:t>
      </w:r>
      <w:r w:rsidRPr="00C90556">
        <w:rPr>
          <w:rFonts w:ascii="Arial" w:hAnsi="Arial" w:cs="Arial"/>
          <w:sz w:val="24"/>
          <w:szCs w:val="24"/>
        </w:rPr>
        <w:t xml:space="preserve"> realizar la interconexión de las bases de datos de las oficialías del interior del </w:t>
      </w:r>
      <w:r w:rsidR="00C90556" w:rsidRPr="00C90556">
        <w:rPr>
          <w:rFonts w:ascii="Arial" w:hAnsi="Arial" w:cs="Arial"/>
          <w:sz w:val="24"/>
          <w:szCs w:val="24"/>
        </w:rPr>
        <w:t>e</w:t>
      </w:r>
      <w:r w:rsidRPr="00C90556">
        <w:rPr>
          <w:rFonts w:ascii="Arial" w:hAnsi="Arial" w:cs="Arial"/>
          <w:sz w:val="24"/>
          <w:szCs w:val="24"/>
        </w:rPr>
        <w:t>stado.</w:t>
      </w:r>
    </w:p>
    <w:p w:rsidR="00773FD3" w:rsidRPr="00C90556" w:rsidRDefault="00C90556" w:rsidP="00BC4D80">
      <w:pPr>
        <w:spacing w:before="100" w:beforeAutospacing="1" w:after="100" w:afterAutospacing="1" w:line="240" w:lineRule="auto"/>
        <w:jc w:val="both"/>
        <w:rPr>
          <w:rFonts w:ascii="Arial" w:hAnsi="Arial" w:cs="Arial"/>
          <w:sz w:val="24"/>
          <w:szCs w:val="24"/>
        </w:rPr>
      </w:pPr>
      <w:r w:rsidRPr="00C90556">
        <w:rPr>
          <w:rFonts w:ascii="Arial" w:hAnsi="Arial" w:cs="Arial"/>
          <w:sz w:val="24"/>
          <w:szCs w:val="24"/>
        </w:rPr>
        <w:t>Por otra parte</w:t>
      </w:r>
      <w:r w:rsidR="00773FD3" w:rsidRPr="00C90556">
        <w:rPr>
          <w:rFonts w:ascii="Arial" w:hAnsi="Arial" w:cs="Arial"/>
          <w:sz w:val="24"/>
          <w:szCs w:val="24"/>
        </w:rPr>
        <w:t xml:space="preserve">, se prevé la actualización del </w:t>
      </w:r>
      <w:r w:rsidRPr="00C90556">
        <w:rPr>
          <w:rFonts w:ascii="Arial" w:hAnsi="Arial" w:cs="Arial"/>
          <w:sz w:val="24"/>
          <w:szCs w:val="24"/>
        </w:rPr>
        <w:t xml:space="preserve">monto en los derechos por la expedición de </w:t>
      </w:r>
      <w:r w:rsidR="00773FD3" w:rsidRPr="00C90556">
        <w:rPr>
          <w:rFonts w:ascii="Arial" w:hAnsi="Arial" w:cs="Arial"/>
          <w:sz w:val="24"/>
          <w:szCs w:val="24"/>
        </w:rPr>
        <w:t>las licencias</w:t>
      </w:r>
      <w:r w:rsidRPr="00C90556">
        <w:rPr>
          <w:rFonts w:ascii="Arial" w:hAnsi="Arial" w:cs="Arial"/>
          <w:sz w:val="24"/>
          <w:szCs w:val="24"/>
        </w:rPr>
        <w:t xml:space="preserve"> para conducir vehículos</w:t>
      </w:r>
      <w:r w:rsidR="00773FD3" w:rsidRPr="00C90556">
        <w:rPr>
          <w:rFonts w:ascii="Arial" w:hAnsi="Arial" w:cs="Arial"/>
          <w:sz w:val="24"/>
          <w:szCs w:val="24"/>
        </w:rPr>
        <w:t xml:space="preserve"> de manejo</w:t>
      </w:r>
      <w:r>
        <w:rPr>
          <w:rFonts w:ascii="Arial" w:hAnsi="Arial" w:cs="Arial"/>
          <w:sz w:val="24"/>
          <w:szCs w:val="24"/>
        </w:rPr>
        <w:t>,</w:t>
      </w:r>
      <w:r w:rsidR="00773FD3" w:rsidRPr="00C90556">
        <w:rPr>
          <w:rFonts w:ascii="Arial" w:hAnsi="Arial" w:cs="Arial"/>
          <w:sz w:val="24"/>
          <w:szCs w:val="24"/>
        </w:rPr>
        <w:t xml:space="preserve"> aproximadamente</w:t>
      </w:r>
      <w:r w:rsidRPr="00C90556">
        <w:rPr>
          <w:rFonts w:ascii="Arial" w:hAnsi="Arial" w:cs="Arial"/>
          <w:sz w:val="24"/>
          <w:szCs w:val="24"/>
        </w:rPr>
        <w:t xml:space="preserve"> en</w:t>
      </w:r>
      <w:r w:rsidR="00773FD3" w:rsidRPr="00C90556">
        <w:rPr>
          <w:rFonts w:ascii="Arial" w:hAnsi="Arial" w:cs="Arial"/>
          <w:sz w:val="24"/>
          <w:szCs w:val="24"/>
        </w:rPr>
        <w:t xml:space="preserve"> un 9%, derivado del increment</w:t>
      </w:r>
      <w:r w:rsidRPr="00C90556">
        <w:rPr>
          <w:rFonts w:ascii="Arial" w:hAnsi="Arial" w:cs="Arial"/>
          <w:sz w:val="24"/>
          <w:szCs w:val="24"/>
        </w:rPr>
        <w:t>o</w:t>
      </w:r>
      <w:r w:rsidR="00773FD3" w:rsidRPr="00C90556">
        <w:rPr>
          <w:rFonts w:ascii="Arial" w:hAnsi="Arial" w:cs="Arial"/>
          <w:sz w:val="24"/>
          <w:szCs w:val="24"/>
        </w:rPr>
        <w:t xml:space="preserve"> en el costo de la prestación de dicho servicio.</w:t>
      </w:r>
    </w:p>
    <w:p w:rsidR="00A84DBA" w:rsidRDefault="00C90556" w:rsidP="00A84DBA">
      <w:pPr>
        <w:spacing w:before="100" w:beforeAutospacing="1" w:after="100" w:afterAutospacing="1" w:line="240" w:lineRule="auto"/>
        <w:jc w:val="both"/>
        <w:rPr>
          <w:rFonts w:ascii="Arial" w:hAnsi="Arial" w:cs="Arial"/>
          <w:sz w:val="24"/>
          <w:szCs w:val="24"/>
        </w:rPr>
      </w:pPr>
      <w:r w:rsidRPr="00B01BF2">
        <w:rPr>
          <w:rFonts w:ascii="Arial" w:hAnsi="Arial" w:cs="Arial"/>
          <w:sz w:val="24"/>
          <w:szCs w:val="24"/>
        </w:rPr>
        <w:t>Por último</w:t>
      </w:r>
      <w:r w:rsidR="00773FD3" w:rsidRPr="00B01BF2">
        <w:rPr>
          <w:rFonts w:ascii="Arial" w:hAnsi="Arial" w:cs="Arial"/>
          <w:sz w:val="24"/>
          <w:szCs w:val="24"/>
        </w:rPr>
        <w:t xml:space="preserve">, se plantea la actualización del </w:t>
      </w:r>
      <w:r w:rsidR="00B01BF2" w:rsidRPr="00B01BF2">
        <w:rPr>
          <w:rFonts w:ascii="Arial" w:hAnsi="Arial" w:cs="Arial"/>
          <w:sz w:val="24"/>
          <w:szCs w:val="24"/>
        </w:rPr>
        <w:t>monto</w:t>
      </w:r>
      <w:r w:rsidR="00773FD3" w:rsidRPr="00B01BF2">
        <w:rPr>
          <w:rFonts w:ascii="Arial" w:hAnsi="Arial" w:cs="Arial"/>
          <w:sz w:val="24"/>
          <w:szCs w:val="24"/>
        </w:rPr>
        <w:t xml:space="preserve"> del derecho </w:t>
      </w:r>
      <w:r w:rsidR="00B01BF2" w:rsidRPr="00B01BF2">
        <w:rPr>
          <w:rFonts w:ascii="Arial" w:hAnsi="Arial" w:cs="Arial"/>
          <w:sz w:val="24"/>
          <w:szCs w:val="24"/>
        </w:rPr>
        <w:t>por</w:t>
      </w:r>
      <w:r w:rsidR="00567AB5">
        <w:rPr>
          <w:rFonts w:ascii="Arial" w:hAnsi="Arial" w:cs="Arial"/>
          <w:sz w:val="24"/>
          <w:szCs w:val="24"/>
        </w:rPr>
        <w:t xml:space="preserve"> el concepto de</w:t>
      </w:r>
      <w:r w:rsidR="00773FD3" w:rsidRPr="00B01BF2">
        <w:rPr>
          <w:rFonts w:ascii="Arial" w:hAnsi="Arial" w:cs="Arial"/>
          <w:sz w:val="24"/>
          <w:szCs w:val="24"/>
        </w:rPr>
        <w:t xml:space="preserve"> evaluación de las actividades de extracción </w:t>
      </w:r>
      <w:r w:rsidR="00B01BF2" w:rsidRPr="00B01BF2">
        <w:rPr>
          <w:rFonts w:ascii="Arial" w:hAnsi="Arial" w:cs="Arial"/>
          <w:sz w:val="24"/>
          <w:szCs w:val="24"/>
        </w:rPr>
        <w:t xml:space="preserve">por metro cúbico </w:t>
      </w:r>
      <w:r w:rsidR="00773FD3" w:rsidRPr="00B01BF2">
        <w:rPr>
          <w:rFonts w:ascii="Arial" w:hAnsi="Arial" w:cs="Arial"/>
          <w:sz w:val="24"/>
          <w:szCs w:val="24"/>
        </w:rPr>
        <w:t>de material pétreo</w:t>
      </w:r>
      <w:r w:rsidR="00B01BF2" w:rsidRPr="00B01BF2">
        <w:rPr>
          <w:rFonts w:ascii="Arial" w:hAnsi="Arial" w:cs="Arial"/>
          <w:sz w:val="24"/>
          <w:szCs w:val="24"/>
        </w:rPr>
        <w:t>,</w:t>
      </w:r>
      <w:r w:rsidR="00567AB5">
        <w:rPr>
          <w:rFonts w:ascii="Arial" w:hAnsi="Arial" w:cs="Arial"/>
          <w:sz w:val="24"/>
          <w:szCs w:val="24"/>
        </w:rPr>
        <w:t xml:space="preserve"> lo anterior</w:t>
      </w:r>
      <w:r w:rsidR="00B01BF2" w:rsidRPr="00B01BF2">
        <w:rPr>
          <w:rFonts w:ascii="Arial" w:hAnsi="Arial" w:cs="Arial"/>
          <w:sz w:val="24"/>
          <w:szCs w:val="24"/>
        </w:rPr>
        <w:t xml:space="preserve"> </w:t>
      </w:r>
      <w:r w:rsidR="00773FD3" w:rsidRPr="00B01BF2">
        <w:rPr>
          <w:rFonts w:ascii="Arial" w:hAnsi="Arial" w:cs="Arial"/>
          <w:sz w:val="24"/>
          <w:szCs w:val="24"/>
        </w:rPr>
        <w:t xml:space="preserve">debido al incremento en los costos </w:t>
      </w:r>
      <w:r w:rsidR="00B01BF2" w:rsidRPr="00B01BF2">
        <w:rPr>
          <w:rFonts w:ascii="Arial" w:hAnsi="Arial" w:cs="Arial"/>
          <w:sz w:val="24"/>
          <w:szCs w:val="24"/>
        </w:rPr>
        <w:t>en</w:t>
      </w:r>
      <w:r w:rsidR="00773FD3" w:rsidRPr="00B01BF2">
        <w:rPr>
          <w:rFonts w:ascii="Arial" w:hAnsi="Arial" w:cs="Arial"/>
          <w:sz w:val="24"/>
          <w:szCs w:val="24"/>
        </w:rPr>
        <w:t xml:space="preserve"> la prestación de</w:t>
      </w:r>
      <w:r w:rsidR="00B01BF2">
        <w:rPr>
          <w:rFonts w:ascii="Arial" w:hAnsi="Arial" w:cs="Arial"/>
          <w:sz w:val="24"/>
          <w:szCs w:val="24"/>
        </w:rPr>
        <w:t xml:space="preserve">l </w:t>
      </w:r>
      <w:r w:rsidR="00773FD3" w:rsidRPr="00B01BF2">
        <w:rPr>
          <w:rFonts w:ascii="Arial" w:hAnsi="Arial" w:cs="Arial"/>
          <w:sz w:val="24"/>
          <w:szCs w:val="24"/>
        </w:rPr>
        <w:t>servicio, en virtud de se requiere realizar visitas de verificación por</w:t>
      </w:r>
      <w:r w:rsidR="00B01BF2">
        <w:rPr>
          <w:rFonts w:ascii="Arial" w:hAnsi="Arial" w:cs="Arial"/>
          <w:sz w:val="24"/>
          <w:szCs w:val="24"/>
        </w:rPr>
        <w:t xml:space="preserve"> parte de</w:t>
      </w:r>
      <w:r w:rsidR="00773FD3" w:rsidRPr="00B01BF2">
        <w:rPr>
          <w:rFonts w:ascii="Arial" w:hAnsi="Arial" w:cs="Arial"/>
          <w:sz w:val="24"/>
          <w:szCs w:val="24"/>
        </w:rPr>
        <w:t xml:space="preserve"> personal especializado en </w:t>
      </w:r>
      <w:r w:rsidR="00B01BF2">
        <w:rPr>
          <w:rFonts w:ascii="Arial" w:hAnsi="Arial" w:cs="Arial"/>
          <w:sz w:val="24"/>
          <w:szCs w:val="24"/>
        </w:rPr>
        <w:t>los lugares en los que se esté</w:t>
      </w:r>
      <w:r w:rsidR="00573CDC">
        <w:rPr>
          <w:rFonts w:ascii="Arial" w:hAnsi="Arial" w:cs="Arial"/>
          <w:sz w:val="24"/>
          <w:szCs w:val="24"/>
        </w:rPr>
        <w:t>n</w:t>
      </w:r>
      <w:r w:rsidR="00B01BF2">
        <w:rPr>
          <w:rFonts w:ascii="Arial" w:hAnsi="Arial" w:cs="Arial"/>
          <w:sz w:val="24"/>
          <w:szCs w:val="24"/>
        </w:rPr>
        <w:t xml:space="preserve"> llevando a cabo </w:t>
      </w:r>
      <w:r w:rsidR="00573CDC">
        <w:rPr>
          <w:rFonts w:ascii="Arial" w:hAnsi="Arial" w:cs="Arial"/>
          <w:sz w:val="24"/>
          <w:szCs w:val="24"/>
        </w:rPr>
        <w:t xml:space="preserve">los actos o </w:t>
      </w:r>
      <w:r w:rsidR="00B01BF2">
        <w:rPr>
          <w:rFonts w:ascii="Arial" w:hAnsi="Arial" w:cs="Arial"/>
          <w:sz w:val="24"/>
          <w:szCs w:val="24"/>
        </w:rPr>
        <w:t>la</w:t>
      </w:r>
      <w:r w:rsidR="00573CDC">
        <w:rPr>
          <w:rFonts w:ascii="Arial" w:hAnsi="Arial" w:cs="Arial"/>
          <w:sz w:val="24"/>
          <w:szCs w:val="24"/>
        </w:rPr>
        <w:t>s</w:t>
      </w:r>
      <w:r w:rsidR="00773FD3" w:rsidRPr="00B01BF2">
        <w:rPr>
          <w:rFonts w:ascii="Arial" w:hAnsi="Arial" w:cs="Arial"/>
          <w:sz w:val="24"/>
          <w:szCs w:val="24"/>
        </w:rPr>
        <w:t xml:space="preserve"> actividad</w:t>
      </w:r>
      <w:r w:rsidR="00573CDC">
        <w:rPr>
          <w:rFonts w:ascii="Arial" w:hAnsi="Arial" w:cs="Arial"/>
          <w:sz w:val="24"/>
          <w:szCs w:val="24"/>
        </w:rPr>
        <w:t>es</w:t>
      </w:r>
      <w:r w:rsidR="00773FD3" w:rsidRPr="00B01BF2">
        <w:rPr>
          <w:rFonts w:ascii="Arial" w:hAnsi="Arial" w:cs="Arial"/>
          <w:sz w:val="24"/>
          <w:szCs w:val="24"/>
        </w:rPr>
        <w:t>.</w:t>
      </w:r>
    </w:p>
    <w:p w:rsidR="00567AB5" w:rsidRPr="0029658D" w:rsidRDefault="00567AB5" w:rsidP="00567AB5">
      <w:pPr>
        <w:spacing w:before="100" w:beforeAutospacing="1" w:after="100" w:afterAutospacing="1" w:line="240" w:lineRule="auto"/>
        <w:jc w:val="both"/>
        <w:rPr>
          <w:rFonts w:ascii="Arial" w:hAnsi="Arial"/>
          <w:sz w:val="24"/>
        </w:rPr>
      </w:pPr>
      <w:r>
        <w:rPr>
          <w:rFonts w:ascii="Arial" w:hAnsi="Arial"/>
          <w:sz w:val="24"/>
        </w:rPr>
        <w:t>Finalmente respecto al P</w:t>
      </w:r>
      <w:r w:rsidRPr="00113C63">
        <w:rPr>
          <w:rFonts w:ascii="Arial" w:hAnsi="Arial"/>
          <w:sz w:val="24"/>
        </w:rPr>
        <w:t>rograma del financiamiento anual</w:t>
      </w:r>
      <w:r>
        <w:rPr>
          <w:rFonts w:ascii="Arial" w:hAnsi="Arial"/>
          <w:sz w:val="24"/>
        </w:rPr>
        <w:t xml:space="preserve"> y el s</w:t>
      </w:r>
      <w:r w:rsidRPr="00113C63">
        <w:rPr>
          <w:rFonts w:ascii="Arial" w:hAnsi="Arial"/>
          <w:sz w:val="24"/>
        </w:rPr>
        <w:t>aldo total de la deuda contingente derivada de proyectos de inversión a largo plazo</w:t>
      </w:r>
      <w:r>
        <w:rPr>
          <w:rFonts w:ascii="Arial" w:hAnsi="Arial"/>
          <w:sz w:val="24"/>
        </w:rPr>
        <w:t>, se manifiesta que no se presenta en la Ley de Ingresos para el Ejercicio Fiscal 2019.</w:t>
      </w:r>
    </w:p>
    <w:p w:rsidR="00271069" w:rsidRPr="009A3CEF" w:rsidRDefault="00271069" w:rsidP="00271069">
      <w:pPr>
        <w:spacing w:before="100" w:beforeAutospacing="1" w:after="100" w:afterAutospacing="1" w:line="240" w:lineRule="auto"/>
        <w:jc w:val="both"/>
        <w:rPr>
          <w:rFonts w:ascii="Arial" w:hAnsi="Arial" w:cs="Arial"/>
          <w:sz w:val="24"/>
          <w:szCs w:val="24"/>
        </w:rPr>
      </w:pPr>
      <w:r w:rsidRPr="009A3CEF">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271069" w:rsidRPr="009A3CEF" w:rsidRDefault="00271069" w:rsidP="00271069">
      <w:pPr>
        <w:pStyle w:val="NormalWeb"/>
        <w:spacing w:beforeLines="0" w:beforeAutospacing="1" w:afterLines="0" w:afterAutospacing="1"/>
        <w:jc w:val="center"/>
        <w:rPr>
          <w:rFonts w:ascii="Arial" w:hAnsi="Arial" w:cs="Arial"/>
          <w:sz w:val="24"/>
          <w:szCs w:val="24"/>
        </w:rPr>
      </w:pPr>
      <w:r w:rsidRPr="009A3CEF">
        <w:rPr>
          <w:rFonts w:ascii="Arial" w:hAnsi="Arial" w:cs="Arial"/>
          <w:b/>
          <w:sz w:val="24"/>
          <w:szCs w:val="24"/>
        </w:rPr>
        <w:t>Iniciativa para expedir la Ley de Ingresos para el Ejercicio Fiscal 201</w:t>
      </w:r>
      <w:r>
        <w:rPr>
          <w:rFonts w:ascii="Arial" w:hAnsi="Arial" w:cs="Arial"/>
          <w:b/>
          <w:sz w:val="24"/>
          <w:szCs w:val="24"/>
        </w:rPr>
        <w:t>9</w:t>
      </w:r>
    </w:p>
    <w:p w:rsidR="00271069" w:rsidRPr="009A3CEF" w:rsidRDefault="00271069" w:rsidP="00271069">
      <w:pPr>
        <w:autoSpaceDE w:val="0"/>
        <w:autoSpaceDN w:val="0"/>
        <w:adjustRightInd w:val="0"/>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 xml:space="preserve">Artículo único. </w:t>
      </w:r>
      <w:r w:rsidRPr="009A3CEF">
        <w:rPr>
          <w:rFonts w:ascii="Arial" w:hAnsi="Arial" w:cs="Arial"/>
          <w:sz w:val="24"/>
          <w:szCs w:val="24"/>
        </w:rPr>
        <w:t>Se expide la Ley de Ingres</w:t>
      </w:r>
      <w:r>
        <w:rPr>
          <w:rFonts w:ascii="Arial" w:hAnsi="Arial" w:cs="Arial"/>
          <w:sz w:val="24"/>
          <w:szCs w:val="24"/>
        </w:rPr>
        <w:t>os para el Ejercicio Fiscal 2019</w:t>
      </w:r>
      <w:r w:rsidRPr="009A3CEF">
        <w:rPr>
          <w:rFonts w:ascii="Arial" w:hAnsi="Arial" w:cs="Arial"/>
          <w:sz w:val="24"/>
          <w:szCs w:val="24"/>
        </w:rPr>
        <w:t>.</w:t>
      </w:r>
    </w:p>
    <w:p w:rsidR="00B81854" w:rsidRPr="009A3CEF" w:rsidRDefault="00B81854" w:rsidP="00B81854">
      <w:pPr>
        <w:spacing w:before="100" w:beforeAutospacing="1" w:after="100" w:afterAutospacing="1" w:line="240" w:lineRule="auto"/>
        <w:jc w:val="center"/>
        <w:rPr>
          <w:rFonts w:ascii="Arial" w:eastAsiaTheme="minorEastAsia" w:hAnsi="Arial" w:cs="Arial"/>
          <w:b/>
          <w:sz w:val="24"/>
          <w:szCs w:val="24"/>
          <w:lang w:eastAsia="es-MX"/>
        </w:rPr>
      </w:pPr>
      <w:r w:rsidRPr="009A3CEF">
        <w:rPr>
          <w:rFonts w:ascii="Arial" w:eastAsiaTheme="minorEastAsia" w:hAnsi="Arial" w:cs="Arial"/>
          <w:b/>
          <w:sz w:val="24"/>
          <w:szCs w:val="24"/>
          <w:lang w:eastAsia="es-MX"/>
        </w:rPr>
        <w:t>Capítulo I</w:t>
      </w:r>
      <w:r w:rsidRPr="009A3CEF">
        <w:rPr>
          <w:rFonts w:ascii="Arial" w:eastAsiaTheme="minorEastAsia" w:hAnsi="Arial" w:cs="Arial"/>
          <w:b/>
          <w:sz w:val="24"/>
          <w:szCs w:val="24"/>
          <w:lang w:eastAsia="es-MX"/>
        </w:rPr>
        <w:br/>
        <w:t>Ingresos</w:t>
      </w:r>
    </w:p>
    <w:p w:rsidR="00B81854" w:rsidRDefault="00B81854" w:rsidP="00B81854">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Artículo 1. Objeto</w:t>
      </w:r>
    </w:p>
    <w:p w:rsidR="003D33A0" w:rsidRPr="003D33A0" w:rsidRDefault="003D33A0" w:rsidP="003D33A0">
      <w:pPr>
        <w:spacing w:before="100" w:beforeAutospacing="1" w:after="100" w:afterAutospacing="1" w:line="240" w:lineRule="auto"/>
        <w:jc w:val="both"/>
        <w:rPr>
          <w:rFonts w:ascii="Arial" w:hAnsi="Arial" w:cs="Arial"/>
          <w:sz w:val="24"/>
          <w:szCs w:val="24"/>
        </w:rPr>
      </w:pPr>
      <w:r w:rsidRPr="003D33A0">
        <w:rPr>
          <w:rFonts w:ascii="Arial" w:hAnsi="Arial" w:cs="Arial"/>
          <w:sz w:val="24"/>
          <w:szCs w:val="24"/>
        </w:rPr>
        <w:lastRenderedPageBreak/>
        <w:t xml:space="preserve">Esta Ley tiene por objeto establecer los ingresos que permitan </w:t>
      </w:r>
      <w:r w:rsidR="00A75FCC">
        <w:rPr>
          <w:rFonts w:ascii="Arial" w:hAnsi="Arial" w:cs="Arial"/>
          <w:sz w:val="24"/>
          <w:szCs w:val="24"/>
        </w:rPr>
        <w:t>atender y financiar</w:t>
      </w:r>
      <w:r w:rsidRPr="003D33A0">
        <w:rPr>
          <w:rFonts w:ascii="Arial" w:hAnsi="Arial" w:cs="Arial"/>
          <w:sz w:val="24"/>
          <w:szCs w:val="24"/>
        </w:rPr>
        <w:t xml:space="preserve"> </w:t>
      </w:r>
      <w:r w:rsidR="00A75FCC">
        <w:rPr>
          <w:rFonts w:ascii="Arial" w:hAnsi="Arial" w:cs="Arial"/>
          <w:sz w:val="24"/>
          <w:szCs w:val="24"/>
        </w:rPr>
        <w:t>los gastos, inversiones públicas, la organización y prestación de servicios públicos, cumplir las obligaciones de su administración así como los</w:t>
      </w:r>
      <w:r w:rsidRPr="003D33A0">
        <w:rPr>
          <w:rFonts w:ascii="Arial" w:hAnsi="Arial" w:cs="Arial"/>
          <w:sz w:val="24"/>
          <w:szCs w:val="24"/>
        </w:rPr>
        <w:t xml:space="preserve"> proyectos estratégicos propuestos para el ejercicio fiscal comprendido del 1 de enero de 2019 al 31 de diciembre de 2019. </w:t>
      </w:r>
    </w:p>
    <w:p w:rsidR="003D33A0" w:rsidRDefault="003D33A0" w:rsidP="003D33A0">
      <w:pPr>
        <w:spacing w:before="100" w:beforeAutospacing="1" w:after="100" w:afterAutospacing="1" w:line="240" w:lineRule="auto"/>
        <w:jc w:val="both"/>
        <w:rPr>
          <w:rFonts w:ascii="Arial" w:hAnsi="Arial" w:cs="Arial"/>
          <w:sz w:val="24"/>
          <w:szCs w:val="24"/>
        </w:rPr>
      </w:pPr>
      <w:r w:rsidRPr="003D33A0">
        <w:rPr>
          <w:rFonts w:ascii="Arial" w:hAnsi="Arial" w:cs="Arial"/>
          <w:sz w:val="24"/>
          <w:szCs w:val="24"/>
        </w:rPr>
        <w:t>Los ingresos referidos en el párrafo anterior se integrarán con los recursos provenientes de impuestos, derechos, productos, aprovechamientos, ingresos</w:t>
      </w:r>
      <w:r w:rsidR="00794179">
        <w:rPr>
          <w:rFonts w:ascii="Arial" w:hAnsi="Arial" w:cs="Arial"/>
          <w:sz w:val="24"/>
          <w:szCs w:val="24"/>
        </w:rPr>
        <w:t xml:space="preserve"> extraordinarios, </w:t>
      </w:r>
      <w:r w:rsidRPr="003D33A0">
        <w:rPr>
          <w:rFonts w:ascii="Arial" w:hAnsi="Arial" w:cs="Arial"/>
          <w:sz w:val="24"/>
          <w:szCs w:val="24"/>
        </w:rPr>
        <w:t>participaciones</w:t>
      </w:r>
      <w:r w:rsidR="00794179">
        <w:rPr>
          <w:rFonts w:ascii="Arial" w:hAnsi="Arial" w:cs="Arial"/>
          <w:sz w:val="24"/>
          <w:szCs w:val="24"/>
        </w:rPr>
        <w:t xml:space="preserve"> y </w:t>
      </w:r>
      <w:r w:rsidRPr="003D33A0">
        <w:rPr>
          <w:rFonts w:ascii="Arial" w:hAnsi="Arial" w:cs="Arial"/>
          <w:sz w:val="24"/>
          <w:szCs w:val="24"/>
        </w:rPr>
        <w:t>fondos</w:t>
      </w:r>
      <w:r w:rsidR="00794179">
        <w:rPr>
          <w:rFonts w:ascii="Arial" w:hAnsi="Arial" w:cs="Arial"/>
          <w:sz w:val="24"/>
          <w:szCs w:val="24"/>
        </w:rPr>
        <w:t xml:space="preserve"> de aportaciones federales </w:t>
      </w:r>
      <w:r w:rsidRPr="003D33A0">
        <w:rPr>
          <w:rFonts w:ascii="Arial" w:hAnsi="Arial" w:cs="Arial"/>
          <w:sz w:val="24"/>
          <w:szCs w:val="24"/>
        </w:rPr>
        <w:t>que determinen esta ley y las demás leyes fiscales aplicables.</w:t>
      </w:r>
    </w:p>
    <w:p w:rsidR="00B81854" w:rsidRPr="009A3CEF" w:rsidRDefault="00B81854" w:rsidP="00B81854">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2. Ingresos</w:t>
      </w:r>
    </w:p>
    <w:p w:rsidR="00737AFF" w:rsidRDefault="00737AFF" w:rsidP="00737AFF">
      <w:pPr>
        <w:spacing w:line="240" w:lineRule="auto"/>
        <w:jc w:val="both"/>
        <w:rPr>
          <w:rFonts w:ascii="Arial" w:hAnsi="Arial" w:cs="Arial"/>
          <w:sz w:val="24"/>
          <w:szCs w:val="24"/>
        </w:rPr>
      </w:pPr>
      <w:r w:rsidRPr="00737AFF">
        <w:rPr>
          <w:rFonts w:ascii="Arial" w:hAnsi="Arial" w:cs="Arial"/>
          <w:sz w:val="24"/>
          <w:szCs w:val="24"/>
        </w:rPr>
        <w:t xml:space="preserve">Los ingresos que el </w:t>
      </w:r>
      <w:r>
        <w:rPr>
          <w:rFonts w:ascii="Arial" w:hAnsi="Arial" w:cs="Arial"/>
          <w:sz w:val="24"/>
          <w:szCs w:val="24"/>
        </w:rPr>
        <w:t>e</w:t>
      </w:r>
      <w:r w:rsidRPr="00737AFF">
        <w:rPr>
          <w:rFonts w:ascii="Arial" w:hAnsi="Arial" w:cs="Arial"/>
          <w:sz w:val="24"/>
          <w:szCs w:val="24"/>
        </w:rPr>
        <w:t>stado de Yucatán perciba durante el ejercicio fiscal 2019 serán los provenientes de los rubros, tipos</w:t>
      </w:r>
      <w:r>
        <w:rPr>
          <w:rFonts w:ascii="Arial" w:hAnsi="Arial" w:cs="Arial"/>
          <w:sz w:val="24"/>
          <w:szCs w:val="24"/>
        </w:rPr>
        <w:t xml:space="preserve"> y</w:t>
      </w:r>
      <w:r w:rsidRPr="00737AFF">
        <w:rPr>
          <w:rFonts w:ascii="Arial" w:hAnsi="Arial" w:cs="Arial"/>
          <w:sz w:val="24"/>
          <w:szCs w:val="24"/>
        </w:rPr>
        <w:t xml:space="preserve"> en las cantidades estimadas, que a continuación se enumeran:</w:t>
      </w:r>
    </w:p>
    <w:p w:rsidR="00483560" w:rsidRPr="00737AFF" w:rsidRDefault="00483560" w:rsidP="00483560">
      <w:pPr>
        <w:spacing w:before="100" w:beforeAutospacing="1" w:after="100" w:afterAutospacing="1" w:line="240" w:lineRule="auto"/>
        <w:jc w:val="center"/>
        <w:rPr>
          <w:rFonts w:ascii="Arial" w:hAnsi="Arial" w:cs="Arial"/>
          <w:sz w:val="24"/>
          <w:szCs w:val="24"/>
        </w:rPr>
      </w:pPr>
      <w:r w:rsidRPr="009A3CEF">
        <w:rPr>
          <w:rFonts w:ascii="Arial" w:eastAsiaTheme="minorEastAsia" w:hAnsi="Arial" w:cs="Arial"/>
          <w:b/>
          <w:sz w:val="24"/>
          <w:szCs w:val="24"/>
          <w:lang w:eastAsia="es-MX"/>
        </w:rPr>
        <w:t>Tabla del clasificador por rubro de ingresos</w:t>
      </w:r>
    </w:p>
    <w:p w:rsidR="008F70CC" w:rsidRDefault="008F70CC" w:rsidP="00737AFF">
      <w:pPr>
        <w:spacing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0"/>
        <w:gridCol w:w="850"/>
        <w:gridCol w:w="14"/>
        <w:gridCol w:w="535"/>
        <w:gridCol w:w="314"/>
        <w:gridCol w:w="427"/>
        <w:gridCol w:w="1562"/>
        <w:gridCol w:w="2483"/>
        <w:gridCol w:w="348"/>
        <w:gridCol w:w="2245"/>
      </w:tblGrid>
      <w:tr w:rsidR="008F70CC" w:rsidRPr="00044038" w:rsidTr="008F70CC">
        <w:trPr>
          <w:trHeight w:val="375"/>
        </w:trPr>
        <w:tc>
          <w:tcPr>
            <w:tcW w:w="111"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3"/>
                <w:szCs w:val="23"/>
                <w:lang w:eastAsia="es-MX"/>
              </w:rPr>
            </w:pPr>
          </w:p>
        </w:tc>
        <w:tc>
          <w:tcPr>
            <w:tcW w:w="779" w:type="pct"/>
            <w:gridSpan w:val="3"/>
            <w:shd w:val="clear" w:color="auto" w:fill="auto"/>
            <w:noWrap/>
            <w:vAlign w:val="center"/>
            <w:hideMark/>
          </w:tcPr>
          <w:p w:rsidR="008F70CC" w:rsidRPr="00483560" w:rsidRDefault="008F70CC" w:rsidP="008F70CC">
            <w:pPr>
              <w:spacing w:line="240" w:lineRule="auto"/>
              <w:rPr>
                <w:rFonts w:ascii="Arial" w:eastAsia="Times New Roman" w:hAnsi="Arial" w:cs="Arial"/>
                <w:b/>
                <w:bCs/>
                <w:color w:val="000000"/>
                <w:lang w:eastAsia="es-MX"/>
              </w:rPr>
            </w:pPr>
            <w:r w:rsidRPr="00483560">
              <w:rPr>
                <w:rFonts w:ascii="Arial" w:eastAsia="Times New Roman" w:hAnsi="Arial" w:cs="Arial"/>
                <w:b/>
                <w:bCs/>
                <w:color w:val="000000"/>
                <w:lang w:eastAsia="es-MX"/>
              </w:rPr>
              <w:t>Total</w:t>
            </w:r>
          </w:p>
        </w:tc>
        <w:tc>
          <w:tcPr>
            <w:tcW w:w="1283" w:type="pct"/>
            <w:gridSpan w:val="3"/>
            <w:shd w:val="clear" w:color="auto" w:fill="auto"/>
            <w:noWrap/>
            <w:vAlign w:val="center"/>
            <w:hideMark/>
          </w:tcPr>
          <w:p w:rsidR="008F70CC" w:rsidRPr="00483560" w:rsidRDefault="008F70CC" w:rsidP="008F70CC">
            <w:pPr>
              <w:spacing w:line="240" w:lineRule="auto"/>
              <w:rPr>
                <w:rFonts w:ascii="Arial" w:eastAsia="Times New Roman" w:hAnsi="Arial" w:cs="Arial"/>
                <w:color w:val="000000"/>
                <w:lang w:eastAsia="es-MX"/>
              </w:rPr>
            </w:pPr>
          </w:p>
        </w:tc>
        <w:tc>
          <w:tcPr>
            <w:tcW w:w="1383" w:type="pct"/>
            <w:shd w:val="clear" w:color="auto" w:fill="auto"/>
            <w:noWrap/>
            <w:vAlign w:val="center"/>
            <w:hideMark/>
          </w:tcPr>
          <w:p w:rsidR="008F70CC" w:rsidRPr="00483560" w:rsidRDefault="008F70CC" w:rsidP="008F70CC">
            <w:pPr>
              <w:spacing w:line="240" w:lineRule="auto"/>
              <w:rPr>
                <w:rFonts w:ascii="Arial" w:eastAsia="Times New Roman" w:hAnsi="Arial" w:cs="Arial"/>
                <w:color w:val="000000"/>
                <w:lang w:eastAsia="es-MX"/>
              </w:rPr>
            </w:pPr>
          </w:p>
        </w:tc>
        <w:tc>
          <w:tcPr>
            <w:tcW w:w="194" w:type="pct"/>
            <w:shd w:val="clear" w:color="auto" w:fill="auto"/>
            <w:vAlign w:val="center"/>
            <w:hideMark/>
          </w:tcPr>
          <w:p w:rsidR="008F70CC" w:rsidRPr="00483560"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   $40,590,008,664.00 </w:t>
            </w:r>
          </w:p>
        </w:tc>
      </w:tr>
      <w:tr w:rsidR="008F70CC" w:rsidRPr="00044038" w:rsidTr="008F70CC">
        <w:trPr>
          <w:trHeight w:val="375"/>
        </w:trPr>
        <w:tc>
          <w:tcPr>
            <w:tcW w:w="111"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lang w:eastAsia="es-MX"/>
              </w:rPr>
            </w:pPr>
          </w:p>
        </w:tc>
        <w:tc>
          <w:tcPr>
            <w:tcW w:w="3445" w:type="pct"/>
            <w:gridSpan w:val="7"/>
            <w:shd w:val="clear" w:color="auto" w:fill="auto"/>
            <w:noWrap/>
            <w:vAlign w:val="center"/>
            <w:hideMark/>
          </w:tcPr>
          <w:p w:rsidR="008F70CC" w:rsidRPr="00483560" w:rsidRDefault="008F70CC" w:rsidP="00483560">
            <w:pPr>
              <w:spacing w:line="240" w:lineRule="auto"/>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Ingresos del </w:t>
            </w:r>
            <w:r w:rsidR="00483560">
              <w:rPr>
                <w:rFonts w:ascii="Arial" w:eastAsia="Times New Roman" w:hAnsi="Arial" w:cs="Arial"/>
                <w:b/>
                <w:bCs/>
                <w:color w:val="000000"/>
                <w:lang w:eastAsia="es-MX"/>
              </w:rPr>
              <w:t>g</w:t>
            </w:r>
            <w:r w:rsidRPr="00483560">
              <w:rPr>
                <w:rFonts w:ascii="Arial" w:eastAsia="Times New Roman" w:hAnsi="Arial" w:cs="Arial"/>
                <w:b/>
                <w:bCs/>
                <w:color w:val="000000"/>
                <w:lang w:eastAsia="es-MX"/>
              </w:rPr>
              <w:t>obierno estatal (1 + 3 + 4 + 5 + 6 + 8 + 9)</w:t>
            </w:r>
          </w:p>
        </w:tc>
        <w:tc>
          <w:tcPr>
            <w:tcW w:w="194" w:type="pct"/>
            <w:shd w:val="clear" w:color="auto" w:fill="auto"/>
            <w:vAlign w:val="center"/>
            <w:hideMark/>
          </w:tcPr>
          <w:p w:rsidR="008F70CC" w:rsidRPr="00483560"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   37,463,449,007.00 </w:t>
            </w:r>
          </w:p>
        </w:tc>
      </w:tr>
      <w:tr w:rsidR="008F70CC" w:rsidRPr="00044038" w:rsidTr="008F70CC">
        <w:trPr>
          <w:trHeight w:val="300"/>
        </w:trPr>
        <w:tc>
          <w:tcPr>
            <w:tcW w:w="111"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b/>
                <w:bCs/>
                <w:color w:val="000000"/>
                <w:lang w:eastAsia="es-MX"/>
              </w:rPr>
            </w:pPr>
            <w:r w:rsidRPr="008F70CC">
              <w:rPr>
                <w:rFonts w:ascii="Arial" w:eastAsia="Times New Roman" w:hAnsi="Arial" w:cs="Arial"/>
                <w:b/>
                <w:bCs/>
                <w:color w:val="000000"/>
                <w:lang w:eastAsia="es-MX"/>
              </w:rPr>
              <w:t>1</w:t>
            </w:r>
          </w:p>
        </w:tc>
        <w:tc>
          <w:tcPr>
            <w:tcW w:w="2062" w:type="pct"/>
            <w:gridSpan w:val="6"/>
            <w:shd w:val="clear" w:color="auto" w:fill="auto"/>
            <w:noWrap/>
            <w:vAlign w:val="center"/>
            <w:hideMark/>
          </w:tcPr>
          <w:p w:rsidR="008F70CC" w:rsidRPr="00483560" w:rsidRDefault="008F70CC" w:rsidP="008F70CC">
            <w:pPr>
              <w:spacing w:line="240" w:lineRule="auto"/>
              <w:rPr>
                <w:rFonts w:ascii="Arial" w:eastAsia="Times New Roman" w:hAnsi="Arial" w:cs="Arial"/>
                <w:b/>
                <w:bCs/>
                <w:color w:val="000000"/>
                <w:lang w:eastAsia="es-MX"/>
              </w:rPr>
            </w:pPr>
            <w:r w:rsidRPr="00483560">
              <w:rPr>
                <w:rFonts w:ascii="Arial" w:eastAsia="Times New Roman" w:hAnsi="Arial" w:cs="Arial"/>
                <w:b/>
                <w:bCs/>
                <w:color w:val="000000"/>
                <w:lang w:eastAsia="es-MX"/>
              </w:rPr>
              <w:t>Impuestos</w:t>
            </w:r>
          </w:p>
        </w:tc>
        <w:tc>
          <w:tcPr>
            <w:tcW w:w="1383" w:type="pct"/>
            <w:shd w:val="clear" w:color="auto" w:fill="auto"/>
            <w:noWrap/>
            <w:vAlign w:val="center"/>
            <w:hideMark/>
          </w:tcPr>
          <w:p w:rsidR="008F70CC" w:rsidRPr="00483560" w:rsidRDefault="008F70CC" w:rsidP="008F70CC">
            <w:pPr>
              <w:spacing w:line="240" w:lineRule="auto"/>
              <w:rPr>
                <w:rFonts w:ascii="Arial" w:eastAsia="Times New Roman" w:hAnsi="Arial" w:cs="Arial"/>
                <w:color w:val="000000"/>
                <w:lang w:eastAsia="es-MX"/>
              </w:rPr>
            </w:pPr>
          </w:p>
        </w:tc>
        <w:tc>
          <w:tcPr>
            <w:tcW w:w="194" w:type="pct"/>
            <w:shd w:val="clear" w:color="auto" w:fill="auto"/>
            <w:vAlign w:val="center"/>
            <w:hideMark/>
          </w:tcPr>
          <w:p w:rsidR="008F70CC" w:rsidRPr="00483560"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b/>
                <w:bCs/>
                <w:color w:val="000000"/>
                <w:lang w:eastAsia="es-MX"/>
              </w:rPr>
            </w:pPr>
            <w:r w:rsidRPr="00483560">
              <w:rPr>
                <w:rFonts w:ascii="Arial" w:eastAsia="Times New Roman" w:hAnsi="Arial" w:cs="Arial"/>
                <w:b/>
                <w:bCs/>
                <w:color w:val="000000"/>
                <w:lang w:eastAsia="es-MX"/>
              </w:rPr>
              <w:t xml:space="preserve">                     2,083,701,944.00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1.1.</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Impuestos sobre los ingresos</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247,464,015.00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1.1.1. </w:t>
            </w:r>
          </w:p>
        </w:tc>
        <w:tc>
          <w:tcPr>
            <w:tcW w:w="2684" w:type="pct"/>
            <w:gridSpan w:val="4"/>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loterías, rifas, sorteos, concursos y juegos con cruce de apuestas legalmente permitidos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91,818,365.00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1.1.2.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el ejercicio profesional</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18,834,995.00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1.1.3.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Cedular sobre la obtención de ingresos por actividades empresariales.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68,968,298.00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1.1.4.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Cedular por la enajenación de bienes inmuebles.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67,842,357.00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1.2.</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sobre el patrimonio</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1.3.</w:t>
            </w:r>
          </w:p>
        </w:tc>
        <w:tc>
          <w:tcPr>
            <w:tcW w:w="3165" w:type="pct"/>
            <w:gridSpan w:val="7"/>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sobre la producción,</w:t>
            </w:r>
            <w:r w:rsidR="00483560">
              <w:rPr>
                <w:rFonts w:ascii="Arial" w:eastAsia="Times New Roman" w:hAnsi="Arial" w:cs="Arial"/>
                <w:color w:val="000000"/>
                <w:sz w:val="20"/>
                <w:szCs w:val="20"/>
                <w:lang w:eastAsia="es-MX"/>
              </w:rPr>
              <w:t xml:space="preserve"> el consumo y las transacciones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468,852,565.00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1.3.1.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por servicios de hospedaje</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54,103,776.00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1.3.2.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enajenación de vehículos usados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14,433,030.00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1.3.3.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Adicional para la ejecución de obras materiales y asistencia social</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112,779,513.00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1.3.4.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a las erogaciones en juegos y concursos</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252,102,751.00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1.3.5.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a casas de empeño</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253,495.00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1.3.6.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A la venta  final de b</w:t>
            </w:r>
            <w:r w:rsidR="00483560">
              <w:rPr>
                <w:rFonts w:ascii="Arial" w:eastAsia="Times New Roman" w:hAnsi="Arial" w:cs="Arial"/>
                <w:color w:val="000000"/>
                <w:sz w:val="20"/>
                <w:szCs w:val="20"/>
                <w:lang w:eastAsia="es-MX"/>
              </w:rPr>
              <w:t>ebidas con contenido alcohólico</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11,290,000.00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1.3.7.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 ambiental sobre la extracción de materiales pétreos del suelo y subsuelo</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23,890,000.00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1.4.</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Impuestos al comercio exterior</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1.5.</w:t>
            </w:r>
          </w:p>
        </w:tc>
        <w:tc>
          <w:tcPr>
            <w:tcW w:w="2971" w:type="pct"/>
            <w:gridSpan w:val="6"/>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Impuestos sobre nóminas y asimilables</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1,341,165,645.00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1.5.1. </w:t>
            </w:r>
          </w:p>
        </w:tc>
        <w:tc>
          <w:tcPr>
            <w:tcW w:w="2684" w:type="pct"/>
            <w:gridSpan w:val="4"/>
            <w:shd w:val="clear" w:color="auto" w:fill="auto"/>
            <w:noWrap/>
            <w:vAlign w:val="center"/>
            <w:hideMark/>
          </w:tcPr>
          <w:p w:rsidR="008F70CC" w:rsidRPr="008F70CC" w:rsidRDefault="008F70CC" w:rsidP="008F70CC">
            <w:pPr>
              <w:spacing w:line="240" w:lineRule="auto"/>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Sobre erogaciones por remuneración al trabajo personal</w:t>
            </w: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color w:val="000000"/>
                <w:sz w:val="20"/>
                <w:szCs w:val="20"/>
                <w:lang w:eastAsia="es-MX"/>
              </w:rPr>
            </w:pPr>
            <w:r w:rsidRPr="008F70CC">
              <w:rPr>
                <w:rFonts w:ascii="Arial" w:eastAsia="Times New Roman" w:hAnsi="Arial" w:cs="Arial"/>
                <w:color w:val="000000"/>
                <w:sz w:val="20"/>
                <w:szCs w:val="20"/>
                <w:lang w:eastAsia="es-MX"/>
              </w:rPr>
              <w:t xml:space="preserve">                     1,341,165,645.00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1.6.</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Impuestos ecológicos</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1.7.</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impuestos</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14,680,434.00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1.8.</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impuestos</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1.9.</w:t>
            </w:r>
          </w:p>
        </w:tc>
        <w:tc>
          <w:tcPr>
            <w:tcW w:w="3165" w:type="pct"/>
            <w:gridSpan w:val="7"/>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Impuestos no comprendidos en  la Ley de Ingresos vigente, causad</w:t>
            </w:r>
            <w:r w:rsidR="00617936">
              <w:rPr>
                <w:rFonts w:ascii="Arial" w:eastAsia="Times New Roman" w:hAnsi="Arial" w:cs="Arial"/>
                <w:color w:val="000000"/>
                <w:sz w:val="20"/>
                <w:szCs w:val="20"/>
                <w:lang w:eastAsia="es-MX"/>
              </w:rPr>
              <w:t>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11,539,285.00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1.9.1.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Impuesto sobre tenencia o uso de vehículos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11,539,285.00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2491" w:type="pct"/>
            <w:gridSpan w:val="3"/>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p>
        </w:tc>
      </w:tr>
      <w:tr w:rsidR="008F70CC" w:rsidRPr="00044038" w:rsidTr="008F70CC">
        <w:trPr>
          <w:trHeight w:val="37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3445" w:type="pct"/>
            <w:gridSpan w:val="7"/>
            <w:shd w:val="clear" w:color="auto" w:fill="auto"/>
            <w:noWrap/>
            <w:vAlign w:val="center"/>
            <w:hideMark/>
          </w:tcPr>
          <w:p w:rsidR="008F70CC" w:rsidRPr="008F70CC" w:rsidRDefault="008F70CC"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Ingresos de o</w:t>
            </w:r>
            <w:r w:rsidRPr="008F70CC">
              <w:rPr>
                <w:rFonts w:ascii="Arial" w:eastAsia="Times New Roman" w:hAnsi="Arial" w:cs="Arial"/>
                <w:b/>
                <w:bCs/>
                <w:color w:val="000000"/>
                <w:lang w:eastAsia="es-MX"/>
              </w:rPr>
              <w:t xml:space="preserve">rganismos y </w:t>
            </w:r>
            <w:r>
              <w:rPr>
                <w:rFonts w:ascii="Arial" w:eastAsia="Times New Roman" w:hAnsi="Arial" w:cs="Arial"/>
                <w:b/>
                <w:bCs/>
                <w:color w:val="000000"/>
                <w:lang w:eastAsia="es-MX"/>
              </w:rPr>
              <w:t>e</w:t>
            </w:r>
            <w:r w:rsidRPr="008F70CC">
              <w:rPr>
                <w:rFonts w:ascii="Arial" w:eastAsia="Times New Roman" w:hAnsi="Arial" w:cs="Arial"/>
                <w:b/>
                <w:bCs/>
                <w:color w:val="000000"/>
                <w:lang w:eastAsia="es-MX"/>
              </w:rPr>
              <w:t>mpresas (2 + 7)</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b/>
                <w:bCs/>
                <w:color w:val="000000"/>
                <w:lang w:eastAsia="es-MX"/>
              </w:rPr>
            </w:pPr>
            <w:r w:rsidRPr="008F70CC">
              <w:rPr>
                <w:rFonts w:ascii="Arial" w:eastAsia="Times New Roman" w:hAnsi="Arial" w:cs="Arial"/>
                <w:b/>
                <w:bCs/>
                <w:color w:val="000000"/>
                <w:lang w:eastAsia="es-MX"/>
              </w:rPr>
              <w:t xml:space="preserve">     3,126,559,657.00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2</w:t>
            </w:r>
          </w:p>
        </w:tc>
        <w:tc>
          <w:tcPr>
            <w:tcW w:w="3445" w:type="pct"/>
            <w:gridSpan w:val="7"/>
            <w:shd w:val="clear" w:color="auto" w:fill="auto"/>
            <w:noWrap/>
            <w:vAlign w:val="center"/>
            <w:hideMark/>
          </w:tcPr>
          <w:p w:rsidR="008F70CC" w:rsidRPr="008F70CC" w:rsidRDefault="008F70CC"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Cuotas y aportaciones de s</w:t>
            </w:r>
            <w:r w:rsidRPr="008F70CC">
              <w:rPr>
                <w:rFonts w:ascii="Arial" w:eastAsia="Times New Roman" w:hAnsi="Arial" w:cs="Arial"/>
                <w:b/>
                <w:bCs/>
                <w:color w:val="000000"/>
                <w:lang w:eastAsia="es-MX"/>
              </w:rPr>
              <w:t xml:space="preserve">eguridad </w:t>
            </w:r>
            <w:r>
              <w:rPr>
                <w:rFonts w:ascii="Arial" w:eastAsia="Times New Roman" w:hAnsi="Arial" w:cs="Arial"/>
                <w:b/>
                <w:bCs/>
                <w:color w:val="000000"/>
                <w:lang w:eastAsia="es-MX"/>
              </w:rPr>
              <w:t>s</w:t>
            </w:r>
            <w:r w:rsidRPr="008F70CC">
              <w:rPr>
                <w:rFonts w:ascii="Arial" w:eastAsia="Times New Roman" w:hAnsi="Arial" w:cs="Arial"/>
                <w:b/>
                <w:bCs/>
                <w:color w:val="000000"/>
                <w:lang w:eastAsia="es-MX"/>
              </w:rPr>
              <w:t>ocial</w:t>
            </w:r>
          </w:p>
        </w:tc>
        <w:tc>
          <w:tcPr>
            <w:tcW w:w="194" w:type="pct"/>
            <w:shd w:val="clear" w:color="auto" w:fill="auto"/>
            <w:vAlign w:val="center"/>
            <w:hideMark/>
          </w:tcPr>
          <w:p w:rsidR="008F70CC" w:rsidRPr="008F70CC"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8F70CC" w:rsidRDefault="008F70CC" w:rsidP="008F70CC">
            <w:pPr>
              <w:spacing w:line="240" w:lineRule="auto"/>
              <w:jc w:val="right"/>
              <w:rPr>
                <w:rFonts w:ascii="Arial" w:eastAsia="Times New Roman" w:hAnsi="Arial" w:cs="Arial"/>
                <w:b/>
                <w:bCs/>
                <w:color w:val="000000"/>
                <w:lang w:eastAsia="es-MX"/>
              </w:rPr>
            </w:pPr>
            <w:r w:rsidRPr="008F70CC">
              <w:rPr>
                <w:rFonts w:ascii="Arial" w:eastAsia="Times New Roman" w:hAnsi="Arial" w:cs="Arial"/>
                <w:b/>
                <w:bCs/>
                <w:color w:val="000000"/>
                <w:lang w:eastAsia="es-MX"/>
              </w:rPr>
              <w:t xml:space="preserve">                     1,026,632,941.00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2.1.</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Aportaciones para fondos de vivienda</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2.2.</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Cuotas para la seguridad social</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1,026,632,941.00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2.3.</w:t>
            </w:r>
          </w:p>
        </w:tc>
        <w:tc>
          <w:tcPr>
            <w:tcW w:w="2971"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Cuotas de ahorro para el retiro</w:t>
            </w:r>
          </w:p>
        </w:tc>
        <w:tc>
          <w:tcPr>
            <w:tcW w:w="194" w:type="pct"/>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2.4.</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Otras cuotas y aportaciones para la seguridad social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2.5.</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cuotas y aportaciones de seguridad social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75"/>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3</w:t>
            </w:r>
          </w:p>
        </w:tc>
        <w:tc>
          <w:tcPr>
            <w:tcW w:w="3445" w:type="pct"/>
            <w:gridSpan w:val="7"/>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Contribuciones de m</w:t>
            </w:r>
            <w:r w:rsidRPr="00044038">
              <w:rPr>
                <w:rFonts w:ascii="Arial" w:eastAsia="Times New Roman" w:hAnsi="Arial" w:cs="Arial"/>
                <w:b/>
                <w:bCs/>
                <w:color w:val="000000"/>
                <w:lang w:eastAsia="es-MX"/>
              </w:rPr>
              <w:t>ejoras</w:t>
            </w:r>
          </w:p>
        </w:tc>
        <w:tc>
          <w:tcPr>
            <w:tcW w:w="194" w:type="pct"/>
            <w:shd w:val="clear" w:color="auto" w:fill="auto"/>
            <w:vAlign w:val="center"/>
            <w:hideMark/>
          </w:tcPr>
          <w:p w:rsidR="008F70CC" w:rsidRPr="00044038"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w:t>
            </w:r>
            <w:r w:rsidRPr="00044038">
              <w:rPr>
                <w:rFonts w:ascii="Arial" w:eastAsia="Times New Roman" w:hAnsi="Arial" w:cs="Arial"/>
                <w:color w:val="000000"/>
                <w:lang w:eastAsia="es-MX"/>
              </w:rPr>
              <w:t xml:space="preserve">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3.1.</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Contribuciones de mejoras por obras públicas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3.2.</w:t>
            </w:r>
          </w:p>
        </w:tc>
        <w:tc>
          <w:tcPr>
            <w:tcW w:w="3165" w:type="pct"/>
            <w:gridSpan w:val="7"/>
            <w:shd w:val="clear" w:color="auto" w:fill="auto"/>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Contribuciones de m</w:t>
            </w:r>
            <w:r w:rsidR="008F70CC" w:rsidRPr="00617936">
              <w:rPr>
                <w:rFonts w:ascii="Arial" w:eastAsia="Times New Roman" w:hAnsi="Arial" w:cs="Arial"/>
                <w:color w:val="000000"/>
                <w:sz w:val="20"/>
                <w:szCs w:val="20"/>
                <w:lang w:eastAsia="es-MX"/>
              </w:rPr>
              <w:t>ejoras no comprendidas en la Ley de Ingresos vigente,  causadas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4</w:t>
            </w:r>
          </w:p>
        </w:tc>
        <w:tc>
          <w:tcPr>
            <w:tcW w:w="2062" w:type="pct"/>
            <w:gridSpan w:val="6"/>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Derechos</w:t>
            </w:r>
          </w:p>
        </w:tc>
        <w:tc>
          <w:tcPr>
            <w:tcW w:w="138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194" w:type="pct"/>
            <w:shd w:val="clear" w:color="auto" w:fill="auto"/>
            <w:vAlign w:val="center"/>
            <w:hideMark/>
          </w:tcPr>
          <w:p w:rsidR="008F70CC" w:rsidRPr="00044038" w:rsidRDefault="008F70CC" w:rsidP="008F70CC">
            <w:pPr>
              <w:spacing w:line="240" w:lineRule="auto"/>
              <w:rPr>
                <w:rFonts w:ascii="Arial" w:eastAsia="Times New Roman" w:hAnsi="Arial" w:cs="Arial"/>
                <w:b/>
                <w:bCs/>
                <w:color w:val="000000"/>
                <w:lang w:eastAsia="es-MX"/>
              </w:rPr>
            </w:pPr>
          </w:p>
        </w:tc>
        <w:tc>
          <w:tcPr>
            <w:tcW w:w="1250" w:type="pct"/>
            <w:shd w:val="clear" w:color="auto" w:fill="auto"/>
            <w:noWrap/>
            <w:vAlign w:val="center"/>
            <w:hideMark/>
          </w:tcPr>
          <w:p w:rsidR="008F70CC" w:rsidRPr="00044038" w:rsidRDefault="00617936" w:rsidP="00617936">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1,353,895,149.00 </w:t>
            </w:r>
            <w:r w:rsidR="008F70CC" w:rsidRPr="00044038">
              <w:rPr>
                <w:rFonts w:ascii="Arial" w:eastAsia="Times New Roman" w:hAnsi="Arial" w:cs="Arial"/>
                <w:b/>
                <w:bCs/>
                <w:color w:val="000000"/>
                <w:lang w:eastAsia="es-MX"/>
              </w:rPr>
              <w:t xml:space="preserve">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4.1</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por el uso, goce, aprovechamiento o explotación de bienes del dominio público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215,552.00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4.1.1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el uso, goce o aprovechamiento de</w:t>
            </w:r>
            <w:r w:rsidR="00617936" w:rsidRPr="00617936">
              <w:rPr>
                <w:rFonts w:ascii="Arial" w:eastAsia="Times New Roman" w:hAnsi="Arial" w:cs="Arial"/>
                <w:color w:val="000000"/>
                <w:sz w:val="20"/>
                <w:szCs w:val="20"/>
                <w:lang w:eastAsia="es-MX"/>
              </w:rPr>
              <w:t xml:space="preserve"> bienes de dominio público del 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215,551.00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4.1.2</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el uso de cementerios y prestación de servicios conexos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4.2</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a los hidrocarburos (derogado)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4.3</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por prestación de servicios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1,353,229,581.00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Administración Pública en general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4,394,417.00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4.3.2.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Seguridad Pública</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188,819,848.00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4.3.3</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por los servicios que presta la Consejería Jurídica</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78,422,851.00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4.3.4</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jc w:val="both"/>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el Instituto de Seguridad Jurídica Patrimonial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188,274,191.00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4.3.5</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Fiscalía General del Estado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5,222,400.00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4.3.6</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Educación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5,741,252.00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4.3.7</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Desarrollo Sustentable</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17,872,883.00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4.3.8</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Secretaría de Salud</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71,145,512.00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4.3.9</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Unidad Estatal de Protección Civil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1,173,026.00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4.3.10</w:t>
            </w:r>
            <w:r w:rsidR="00483560">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el Patronato de las Unidades de Servicios Culturales y Turísticos del Estado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710,837,282.00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4.3.11</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Servicios que presta la Dirección de Transporte</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12,768,910.00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4.3.12</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 a la información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4,198.00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4.3.13</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de inspección, control y fiscalización que realiza la Secretaría de la Contraloría General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2,554,044.00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4.3.14</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de supervisión, vigilancia y registro de máquinas de juegos y apuestas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53,106,678.00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4.3.15</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que presta el Poder Judicial del Estado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4.3.16</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de permiso, registro y supervisión para la instalación y operación de casas de empeño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405,944.00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3"/>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4.3.17</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Por los servicios que presta la Secretaría de Investigación</w:t>
            </w:r>
            <w:r w:rsidR="00617936">
              <w:rPr>
                <w:rFonts w:ascii="Arial" w:eastAsia="Times New Roman" w:hAnsi="Arial" w:cs="Arial"/>
                <w:color w:val="000000"/>
                <w:sz w:val="20"/>
                <w:szCs w:val="20"/>
                <w:lang w:eastAsia="es-MX"/>
              </w:rPr>
              <w:t>, Innovación y Educación Superior</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12,486,144.00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4.4</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d</w:t>
            </w:r>
            <w:r w:rsidR="008F70CC" w:rsidRPr="00617936">
              <w:rPr>
                <w:rFonts w:ascii="Arial" w:eastAsia="Times New Roman" w:hAnsi="Arial" w:cs="Arial"/>
                <w:color w:val="000000"/>
                <w:sz w:val="20"/>
                <w:szCs w:val="20"/>
                <w:lang w:eastAsia="es-MX"/>
              </w:rPr>
              <w:t>erechos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4.5</w:t>
            </w:r>
            <w:r w:rsidR="00617936" w:rsidRPr="00617936">
              <w:rPr>
                <w:rFonts w:ascii="Arial" w:eastAsia="Times New Roman" w:hAnsi="Arial" w:cs="Arial"/>
                <w:color w:val="000000"/>
                <w:sz w:val="20"/>
                <w:szCs w:val="20"/>
                <w:lang w:eastAsia="es-MX"/>
              </w:rPr>
              <w:t>.</w:t>
            </w:r>
          </w:p>
        </w:tc>
        <w:tc>
          <w:tcPr>
            <w:tcW w:w="3165" w:type="pct"/>
            <w:gridSpan w:val="7"/>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Accesorios de </w:t>
            </w:r>
            <w:r w:rsidR="00617936" w:rsidRPr="00617936">
              <w:rPr>
                <w:rFonts w:ascii="Arial" w:eastAsia="Times New Roman" w:hAnsi="Arial" w:cs="Arial"/>
                <w:color w:val="000000"/>
                <w:sz w:val="20"/>
                <w:szCs w:val="20"/>
                <w:lang w:eastAsia="es-MX"/>
              </w:rPr>
              <w:t>d</w:t>
            </w:r>
            <w:r w:rsidRPr="00617936">
              <w:rPr>
                <w:rFonts w:ascii="Arial" w:eastAsia="Times New Roman" w:hAnsi="Arial" w:cs="Arial"/>
                <w:color w:val="000000"/>
                <w:sz w:val="20"/>
                <w:szCs w:val="20"/>
                <w:lang w:eastAsia="es-MX"/>
              </w:rPr>
              <w:t>erechos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450,016.00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shd w:val="clear" w:color="auto" w:fill="auto"/>
            <w:vAlign w:val="center"/>
            <w:hideMark/>
          </w:tcPr>
          <w:p w:rsidR="008F70CC" w:rsidRPr="00617936" w:rsidRDefault="008F70CC" w:rsidP="00617936">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4.</w:t>
            </w:r>
            <w:r w:rsidR="00617936" w:rsidRPr="00617936">
              <w:rPr>
                <w:rFonts w:ascii="Arial" w:eastAsia="Times New Roman" w:hAnsi="Arial" w:cs="Arial"/>
                <w:color w:val="000000"/>
                <w:sz w:val="20"/>
                <w:szCs w:val="20"/>
                <w:lang w:eastAsia="es-MX"/>
              </w:rPr>
              <w:t>6.</w:t>
            </w:r>
          </w:p>
        </w:tc>
        <w:tc>
          <w:tcPr>
            <w:tcW w:w="3165" w:type="pct"/>
            <w:gridSpan w:val="7"/>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Derechos no comprendidos en la Ley de Ingresos Vigen</w:t>
            </w:r>
            <w:r w:rsidR="00617936" w:rsidRPr="00617936">
              <w:rPr>
                <w:rFonts w:ascii="Arial" w:eastAsia="Times New Roman" w:hAnsi="Arial" w:cs="Arial"/>
                <w:color w:val="000000"/>
                <w:sz w:val="20"/>
                <w:szCs w:val="20"/>
                <w:lang w:eastAsia="es-MX"/>
              </w:rPr>
              <w:t xml:space="preserve">te, </w:t>
            </w:r>
            <w:r w:rsidR="00617936">
              <w:rPr>
                <w:rFonts w:ascii="Arial" w:eastAsia="Times New Roman" w:hAnsi="Arial" w:cs="Arial"/>
                <w:color w:val="000000"/>
                <w:sz w:val="20"/>
                <w:szCs w:val="20"/>
                <w:lang w:eastAsia="es-MX"/>
              </w:rPr>
              <w:t>causado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5</w:t>
            </w:r>
          </w:p>
        </w:tc>
        <w:tc>
          <w:tcPr>
            <w:tcW w:w="1192" w:type="pct"/>
            <w:gridSpan w:val="5"/>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Productos</w:t>
            </w:r>
          </w:p>
        </w:tc>
        <w:tc>
          <w:tcPr>
            <w:tcW w:w="2447" w:type="pct"/>
            <w:gridSpan w:val="3"/>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259,434,828.00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5.1</w:t>
            </w:r>
            <w:r w:rsidR="00617936" w:rsidRPr="00617936">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Productos </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259,434,828.00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Uso, aprovechamiento o enajenación de bienes de dominio privado del </w:t>
            </w:r>
            <w:r w:rsidR="00617936">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160,000,000.00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5.1.2</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Enajenación de bienes muebles no sujetos a ser inventariados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5.1.3</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los Productos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5.1.4</w:t>
            </w:r>
            <w:r w:rsid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Rendimientos de capitales y valores del </w:t>
            </w:r>
            <w:r w:rsidR="00617936">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95,776,952.00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5.1.5.</w:t>
            </w:r>
            <w:r w:rsidR="008F70CC"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productos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3,657,875.00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617936">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5.</w:t>
            </w:r>
            <w:r w:rsidR="00617936">
              <w:rPr>
                <w:rFonts w:ascii="Arial" w:eastAsia="Times New Roman" w:hAnsi="Arial" w:cs="Arial"/>
                <w:color w:val="000000"/>
                <w:sz w:val="20"/>
                <w:szCs w:val="20"/>
                <w:lang w:eastAsia="es-MX"/>
              </w:rPr>
              <w:t>2.</w:t>
            </w:r>
          </w:p>
        </w:tc>
        <w:tc>
          <w:tcPr>
            <w:tcW w:w="3157" w:type="pct"/>
            <w:gridSpan w:val="6"/>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Productos no comprendidos en la Ley de Ingresos </w:t>
            </w:r>
            <w:r w:rsidR="00617936">
              <w:rPr>
                <w:rFonts w:ascii="Arial" w:eastAsia="Times New Roman" w:hAnsi="Arial" w:cs="Arial"/>
                <w:color w:val="000000"/>
                <w:sz w:val="20"/>
                <w:szCs w:val="20"/>
                <w:lang w:eastAsia="es-MX"/>
              </w:rPr>
              <w:t>vigente, causado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6</w:t>
            </w:r>
          </w:p>
        </w:tc>
        <w:tc>
          <w:tcPr>
            <w:tcW w:w="3638" w:type="pct"/>
            <w:gridSpan w:val="8"/>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Aprovechamientos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86,935,965.00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 </w:t>
            </w:r>
          </w:p>
        </w:tc>
        <w:tc>
          <w:tcPr>
            <w:tcW w:w="3157" w:type="pct"/>
            <w:gridSpan w:val="6"/>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Aprovechamientos </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85,238,173.00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Recargos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6.1.2</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Indemnizaciones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76,949.00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6.1.3</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Multas administrativas y multas impuestas por autoridades judiciales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73,625,571.00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6.1.4</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Otros aprovechamientos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11,535,652.00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6.2. </w:t>
            </w:r>
          </w:p>
        </w:tc>
        <w:tc>
          <w:tcPr>
            <w:tcW w:w="3157" w:type="pct"/>
            <w:gridSpan w:val="6"/>
            <w:shd w:val="clear" w:color="auto" w:fill="auto"/>
            <w:noWrap/>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Aprovechamientos </w:t>
            </w:r>
            <w:r w:rsidR="00617936" w:rsidRPr="00617936">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atrimoniales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6.2.1</w:t>
            </w:r>
            <w:r w:rsidR="00617936" w:rsidRPr="00617936">
              <w:rPr>
                <w:rFonts w:ascii="Arial" w:eastAsia="Times New Roman" w:hAnsi="Arial" w:cs="Arial"/>
                <w:color w:val="000000"/>
                <w:sz w:val="20"/>
                <w:szCs w:val="20"/>
                <w:lang w:eastAsia="es-MX"/>
              </w:rPr>
              <w:t>.</w:t>
            </w:r>
            <w:r w:rsidRPr="00617936">
              <w:rPr>
                <w:rFonts w:ascii="Arial" w:eastAsia="Times New Roman" w:hAnsi="Arial" w:cs="Arial"/>
                <w:color w:val="000000"/>
                <w:sz w:val="20"/>
                <w:szCs w:val="20"/>
                <w:lang w:eastAsia="es-MX"/>
              </w:rPr>
              <w:t xml:space="preserve"> </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Herencias, legajos y donac</w:t>
            </w:r>
            <w:r w:rsidR="00483560">
              <w:rPr>
                <w:rFonts w:ascii="Arial" w:eastAsia="Times New Roman" w:hAnsi="Arial" w:cs="Arial"/>
                <w:color w:val="000000"/>
                <w:sz w:val="20"/>
                <w:szCs w:val="20"/>
                <w:lang w:eastAsia="es-MX"/>
              </w:rPr>
              <w:t>iones que se hagan a favor del E</w:t>
            </w:r>
            <w:r w:rsidRPr="00617936">
              <w:rPr>
                <w:rFonts w:ascii="Arial" w:eastAsia="Times New Roman" w:hAnsi="Arial" w:cs="Arial"/>
                <w:color w:val="000000"/>
                <w:sz w:val="20"/>
                <w:szCs w:val="20"/>
                <w:lang w:eastAsia="es-MX"/>
              </w:rPr>
              <w:t>stado o instituciones que dependan de él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6.3. </w:t>
            </w:r>
          </w:p>
        </w:tc>
        <w:tc>
          <w:tcPr>
            <w:tcW w:w="3157" w:type="pct"/>
            <w:gridSpan w:val="6"/>
            <w:shd w:val="clear" w:color="auto" w:fill="auto"/>
            <w:noWrap/>
            <w:vAlign w:val="center"/>
            <w:hideMark/>
          </w:tcPr>
          <w:p w:rsidR="008F70CC" w:rsidRPr="00617936" w:rsidRDefault="00617936"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Accesorios de  a</w:t>
            </w:r>
            <w:r w:rsidR="008F70CC" w:rsidRPr="00617936">
              <w:rPr>
                <w:rFonts w:ascii="Arial" w:eastAsia="Times New Roman" w:hAnsi="Arial" w:cs="Arial"/>
                <w:color w:val="000000"/>
                <w:sz w:val="20"/>
                <w:szCs w:val="20"/>
                <w:lang w:eastAsia="es-MX"/>
              </w:rPr>
              <w:t>provechamientos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1,697,791.00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6.</w:t>
            </w:r>
            <w:r w:rsidR="00617936" w:rsidRPr="00617936">
              <w:rPr>
                <w:rFonts w:ascii="Arial" w:eastAsia="Times New Roman" w:hAnsi="Arial" w:cs="Arial"/>
                <w:color w:val="000000"/>
                <w:sz w:val="20"/>
                <w:szCs w:val="20"/>
                <w:lang w:eastAsia="es-MX"/>
              </w:rPr>
              <w:t>4</w:t>
            </w:r>
            <w:r w:rsidRPr="00617936">
              <w:rPr>
                <w:rFonts w:ascii="Arial" w:eastAsia="Times New Roman" w:hAnsi="Arial" w:cs="Arial"/>
                <w:color w:val="000000"/>
                <w:sz w:val="20"/>
                <w:szCs w:val="20"/>
                <w:lang w:eastAsia="es-MX"/>
              </w:rPr>
              <w:t xml:space="preserve">. </w:t>
            </w:r>
          </w:p>
        </w:tc>
        <w:tc>
          <w:tcPr>
            <w:tcW w:w="3157" w:type="pct"/>
            <w:gridSpan w:val="6"/>
            <w:shd w:val="clear" w:color="auto" w:fill="auto"/>
            <w:vAlign w:val="center"/>
            <w:hideMark/>
          </w:tcPr>
          <w:p w:rsidR="008F70CC" w:rsidRPr="00617936" w:rsidRDefault="008F70CC" w:rsidP="00617936">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Aprovechamientos no comprendidos en las fracciones de la Ley de Ingresos vigente, causad</w:t>
            </w:r>
            <w:r w:rsidR="00617936">
              <w:rPr>
                <w:rFonts w:ascii="Arial" w:eastAsia="Times New Roman" w:hAnsi="Arial" w:cs="Arial"/>
                <w:color w:val="000000"/>
                <w:sz w:val="20"/>
                <w:szCs w:val="20"/>
                <w:lang w:eastAsia="es-MX"/>
              </w:rPr>
              <w:t>o</w:t>
            </w:r>
            <w:r w:rsidRPr="00617936">
              <w:rPr>
                <w:rFonts w:ascii="Arial" w:eastAsia="Times New Roman" w:hAnsi="Arial" w:cs="Arial"/>
                <w:color w:val="000000"/>
                <w:sz w:val="20"/>
                <w:szCs w:val="20"/>
                <w:lang w:eastAsia="es-MX"/>
              </w:rPr>
              <w:t>s en  ejercicios fiscales anteriores pendientes de liquidación o pago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7</w:t>
            </w:r>
          </w:p>
        </w:tc>
        <w:tc>
          <w:tcPr>
            <w:tcW w:w="3638" w:type="pct"/>
            <w:gridSpan w:val="8"/>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Ingresos por ventas de bienes y servicios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2,099,926,716.00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7.1</w:t>
            </w:r>
            <w:r w:rsid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617936" w:rsidRDefault="00617936" w:rsidP="00CF21B9">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Ingresos por v</w:t>
            </w:r>
            <w:r w:rsidR="00CF21B9">
              <w:rPr>
                <w:rFonts w:ascii="Arial" w:eastAsia="Times New Roman" w:hAnsi="Arial" w:cs="Arial"/>
                <w:color w:val="000000"/>
                <w:sz w:val="20"/>
                <w:szCs w:val="20"/>
                <w:lang w:eastAsia="es-MX"/>
              </w:rPr>
              <w:t>enta de bienes y p</w:t>
            </w:r>
            <w:r w:rsidR="008F70CC" w:rsidRPr="00617936">
              <w:rPr>
                <w:rFonts w:ascii="Arial" w:eastAsia="Times New Roman" w:hAnsi="Arial" w:cs="Arial"/>
                <w:color w:val="000000"/>
                <w:sz w:val="20"/>
                <w:szCs w:val="20"/>
                <w:lang w:eastAsia="es-MX"/>
              </w:rPr>
              <w:t xml:space="preserve">restación de </w:t>
            </w:r>
            <w:r w:rsidR="00CF21B9">
              <w:rPr>
                <w:rFonts w:ascii="Arial" w:eastAsia="Times New Roman" w:hAnsi="Arial" w:cs="Arial"/>
                <w:color w:val="000000"/>
                <w:sz w:val="20"/>
                <w:szCs w:val="20"/>
                <w:lang w:eastAsia="es-MX"/>
              </w:rPr>
              <w:t>servicios de i</w:t>
            </w:r>
            <w:r w:rsidR="008F70CC" w:rsidRPr="00617936">
              <w:rPr>
                <w:rFonts w:ascii="Arial" w:eastAsia="Times New Roman" w:hAnsi="Arial" w:cs="Arial"/>
                <w:color w:val="000000"/>
                <w:sz w:val="20"/>
                <w:szCs w:val="20"/>
                <w:lang w:eastAsia="es-MX"/>
              </w:rPr>
              <w:t xml:space="preserve">nstituciones </w:t>
            </w:r>
            <w:r w:rsidR="00CF21B9">
              <w:rPr>
                <w:rFonts w:ascii="Arial" w:eastAsia="Times New Roman" w:hAnsi="Arial" w:cs="Arial"/>
                <w:color w:val="000000"/>
                <w:sz w:val="20"/>
                <w:szCs w:val="20"/>
                <w:lang w:eastAsia="es-MX"/>
              </w:rPr>
              <w:t>p</w:t>
            </w:r>
            <w:r w:rsidR="008F70CC" w:rsidRPr="00617936">
              <w:rPr>
                <w:rFonts w:ascii="Arial" w:eastAsia="Times New Roman" w:hAnsi="Arial" w:cs="Arial"/>
                <w:color w:val="000000"/>
                <w:sz w:val="20"/>
                <w:szCs w:val="20"/>
                <w:lang w:eastAsia="es-MX"/>
              </w:rPr>
              <w:t xml:space="preserve">úblicas de </w:t>
            </w:r>
            <w:r w:rsidR="00CF21B9">
              <w:rPr>
                <w:rFonts w:ascii="Arial" w:eastAsia="Times New Roman" w:hAnsi="Arial" w:cs="Arial"/>
                <w:color w:val="000000"/>
                <w:sz w:val="20"/>
                <w:szCs w:val="20"/>
                <w:lang w:eastAsia="es-MX"/>
              </w:rPr>
              <w:t>s</w:t>
            </w:r>
            <w:r w:rsidR="008F70CC" w:rsidRPr="00617936">
              <w:rPr>
                <w:rFonts w:ascii="Arial" w:eastAsia="Times New Roman" w:hAnsi="Arial" w:cs="Arial"/>
                <w:color w:val="000000"/>
                <w:sz w:val="20"/>
                <w:szCs w:val="20"/>
                <w:lang w:eastAsia="es-MX"/>
              </w:rPr>
              <w:t xml:space="preserve">eguridad </w:t>
            </w:r>
            <w:r w:rsidR="00CF21B9">
              <w:rPr>
                <w:rFonts w:ascii="Arial" w:eastAsia="Times New Roman" w:hAnsi="Arial" w:cs="Arial"/>
                <w:color w:val="000000"/>
                <w:sz w:val="20"/>
                <w:szCs w:val="20"/>
                <w:lang w:eastAsia="es-MX"/>
              </w:rPr>
              <w:t>s</w:t>
            </w:r>
            <w:r w:rsidR="008F70CC" w:rsidRPr="00617936">
              <w:rPr>
                <w:rFonts w:ascii="Arial" w:eastAsia="Times New Roman" w:hAnsi="Arial" w:cs="Arial"/>
                <w:color w:val="000000"/>
                <w:sz w:val="20"/>
                <w:szCs w:val="20"/>
                <w:lang w:eastAsia="es-MX"/>
              </w:rPr>
              <w:t>ocial</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7.2</w:t>
            </w:r>
            <w:r w:rsidR="00CF21B9">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617936" w:rsidRDefault="008F70CC" w:rsidP="00CF21B9">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Ingresos por </w:t>
            </w:r>
            <w:r w:rsidR="00CF21B9">
              <w:rPr>
                <w:rFonts w:ascii="Arial" w:eastAsia="Times New Roman" w:hAnsi="Arial" w:cs="Arial"/>
                <w:color w:val="000000"/>
                <w:sz w:val="20"/>
                <w:szCs w:val="20"/>
                <w:lang w:eastAsia="es-MX"/>
              </w:rPr>
              <w:t>v</w:t>
            </w:r>
            <w:r w:rsidRPr="00617936">
              <w:rPr>
                <w:rFonts w:ascii="Arial" w:eastAsia="Times New Roman" w:hAnsi="Arial" w:cs="Arial"/>
                <w:color w:val="000000"/>
                <w:sz w:val="20"/>
                <w:szCs w:val="20"/>
                <w:lang w:eastAsia="es-MX"/>
              </w:rPr>
              <w:t xml:space="preserve">enta de </w:t>
            </w:r>
            <w:r w:rsidR="00CF21B9">
              <w:rPr>
                <w:rFonts w:ascii="Arial" w:eastAsia="Times New Roman" w:hAnsi="Arial" w:cs="Arial"/>
                <w:color w:val="000000"/>
                <w:sz w:val="20"/>
                <w:szCs w:val="20"/>
                <w:lang w:eastAsia="es-MX"/>
              </w:rPr>
              <w:t>b</w:t>
            </w:r>
            <w:r w:rsidRPr="00617936">
              <w:rPr>
                <w:rFonts w:ascii="Arial" w:eastAsia="Times New Roman" w:hAnsi="Arial" w:cs="Arial"/>
                <w:color w:val="000000"/>
                <w:sz w:val="20"/>
                <w:szCs w:val="20"/>
                <w:lang w:eastAsia="es-MX"/>
              </w:rPr>
              <w:t xml:space="preserve">ienes y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restación de </w:t>
            </w:r>
            <w:r w:rsidR="00CF21B9">
              <w:rPr>
                <w:rFonts w:ascii="Arial" w:eastAsia="Times New Roman" w:hAnsi="Arial" w:cs="Arial"/>
                <w:color w:val="000000"/>
                <w:sz w:val="20"/>
                <w:szCs w:val="20"/>
                <w:lang w:eastAsia="es-MX"/>
              </w:rPr>
              <w:t>s</w:t>
            </w:r>
            <w:r w:rsidRPr="00617936">
              <w:rPr>
                <w:rFonts w:ascii="Arial" w:eastAsia="Times New Roman" w:hAnsi="Arial" w:cs="Arial"/>
                <w:color w:val="000000"/>
                <w:sz w:val="20"/>
                <w:szCs w:val="20"/>
                <w:lang w:eastAsia="es-MX"/>
              </w:rPr>
              <w:t xml:space="preserve">ervicios de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 xml:space="preserve">mpresas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roductivas del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stado</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w:t>
            </w:r>
            <w:r w:rsidR="00CF21B9">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617936" w:rsidRDefault="008F70CC" w:rsidP="00CF21B9">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Ingresos por </w:t>
            </w:r>
            <w:r w:rsidR="00CF21B9">
              <w:rPr>
                <w:rFonts w:ascii="Arial" w:eastAsia="Times New Roman" w:hAnsi="Arial" w:cs="Arial"/>
                <w:color w:val="000000"/>
                <w:sz w:val="20"/>
                <w:szCs w:val="20"/>
                <w:lang w:eastAsia="es-MX"/>
              </w:rPr>
              <w:t>v</w:t>
            </w:r>
            <w:r w:rsidRPr="00617936">
              <w:rPr>
                <w:rFonts w:ascii="Arial" w:eastAsia="Times New Roman" w:hAnsi="Arial" w:cs="Arial"/>
                <w:color w:val="000000"/>
                <w:sz w:val="20"/>
                <w:szCs w:val="20"/>
                <w:lang w:eastAsia="es-MX"/>
              </w:rPr>
              <w:t xml:space="preserve">enta de </w:t>
            </w:r>
            <w:r w:rsidR="00CF21B9">
              <w:rPr>
                <w:rFonts w:ascii="Arial" w:eastAsia="Times New Roman" w:hAnsi="Arial" w:cs="Arial"/>
                <w:color w:val="000000"/>
                <w:sz w:val="20"/>
                <w:szCs w:val="20"/>
                <w:lang w:eastAsia="es-MX"/>
              </w:rPr>
              <w:t>b</w:t>
            </w:r>
            <w:r w:rsidRPr="00617936">
              <w:rPr>
                <w:rFonts w:ascii="Arial" w:eastAsia="Times New Roman" w:hAnsi="Arial" w:cs="Arial"/>
                <w:color w:val="000000"/>
                <w:sz w:val="20"/>
                <w:szCs w:val="20"/>
                <w:lang w:eastAsia="es-MX"/>
              </w:rPr>
              <w:t xml:space="preserve">ienes y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restación de </w:t>
            </w:r>
            <w:r w:rsidR="00CF21B9">
              <w:rPr>
                <w:rFonts w:ascii="Arial" w:eastAsia="Times New Roman" w:hAnsi="Arial" w:cs="Arial"/>
                <w:color w:val="000000"/>
                <w:sz w:val="20"/>
                <w:szCs w:val="20"/>
                <w:lang w:eastAsia="es-MX"/>
              </w:rPr>
              <w:t>s</w:t>
            </w:r>
            <w:r w:rsidRPr="00617936">
              <w:rPr>
                <w:rFonts w:ascii="Arial" w:eastAsia="Times New Roman" w:hAnsi="Arial" w:cs="Arial"/>
                <w:color w:val="000000"/>
                <w:sz w:val="20"/>
                <w:szCs w:val="20"/>
                <w:lang w:eastAsia="es-MX"/>
              </w:rPr>
              <w:t xml:space="preserve">ervicios de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 xml:space="preserve">ntidades </w:t>
            </w:r>
            <w:r w:rsidR="00CF21B9">
              <w:rPr>
                <w:rFonts w:ascii="Arial" w:eastAsia="Times New Roman" w:hAnsi="Arial" w:cs="Arial"/>
                <w:color w:val="000000"/>
                <w:sz w:val="20"/>
                <w:szCs w:val="20"/>
                <w:lang w:eastAsia="es-MX"/>
              </w:rPr>
              <w:t>p</w:t>
            </w:r>
            <w:r w:rsidRPr="00617936">
              <w:rPr>
                <w:rFonts w:ascii="Arial" w:eastAsia="Times New Roman" w:hAnsi="Arial" w:cs="Arial"/>
                <w:color w:val="000000"/>
                <w:sz w:val="20"/>
                <w:szCs w:val="20"/>
                <w:lang w:eastAsia="es-MX"/>
              </w:rPr>
              <w:t xml:space="preserve">araestatales y </w:t>
            </w:r>
            <w:r w:rsidR="00CF21B9">
              <w:rPr>
                <w:rFonts w:ascii="Arial" w:eastAsia="Times New Roman" w:hAnsi="Arial" w:cs="Arial"/>
                <w:color w:val="000000"/>
                <w:sz w:val="20"/>
                <w:szCs w:val="20"/>
                <w:lang w:eastAsia="es-MX"/>
              </w:rPr>
              <w:t>f</w:t>
            </w:r>
            <w:r w:rsidRPr="00617936">
              <w:rPr>
                <w:rFonts w:ascii="Arial" w:eastAsia="Times New Roman" w:hAnsi="Arial" w:cs="Arial"/>
                <w:color w:val="000000"/>
                <w:sz w:val="20"/>
                <w:szCs w:val="20"/>
                <w:lang w:eastAsia="es-MX"/>
              </w:rPr>
              <w:t xml:space="preserve">ideicomisos </w:t>
            </w:r>
            <w:r w:rsidR="00CF21B9">
              <w:rPr>
                <w:rFonts w:ascii="Arial" w:eastAsia="Times New Roman" w:hAnsi="Arial" w:cs="Arial"/>
                <w:color w:val="000000"/>
                <w:sz w:val="20"/>
                <w:szCs w:val="20"/>
                <w:lang w:eastAsia="es-MX"/>
              </w:rPr>
              <w:t>n</w:t>
            </w:r>
            <w:r w:rsidRPr="00617936">
              <w:rPr>
                <w:rFonts w:ascii="Arial" w:eastAsia="Times New Roman" w:hAnsi="Arial" w:cs="Arial"/>
                <w:color w:val="000000"/>
                <w:sz w:val="20"/>
                <w:szCs w:val="20"/>
                <w:lang w:eastAsia="es-MX"/>
              </w:rPr>
              <w:t xml:space="preserve">o </w:t>
            </w:r>
            <w:r w:rsidR="00CF21B9">
              <w:rPr>
                <w:rFonts w:ascii="Arial" w:eastAsia="Times New Roman" w:hAnsi="Arial" w:cs="Arial"/>
                <w:color w:val="000000"/>
                <w:sz w:val="20"/>
                <w:szCs w:val="20"/>
                <w:lang w:eastAsia="es-MX"/>
              </w:rPr>
              <w:t>e</w:t>
            </w:r>
            <w:r w:rsidRPr="00617936">
              <w:rPr>
                <w:rFonts w:ascii="Arial" w:eastAsia="Times New Roman" w:hAnsi="Arial" w:cs="Arial"/>
                <w:color w:val="000000"/>
                <w:sz w:val="20"/>
                <w:szCs w:val="20"/>
                <w:lang w:eastAsia="es-MX"/>
              </w:rPr>
              <w:t xml:space="preserve">mpresariales y </w:t>
            </w:r>
            <w:r w:rsidR="00CF21B9">
              <w:rPr>
                <w:rFonts w:ascii="Arial" w:eastAsia="Times New Roman" w:hAnsi="Arial" w:cs="Arial"/>
                <w:color w:val="000000"/>
                <w:sz w:val="20"/>
                <w:szCs w:val="20"/>
                <w:lang w:eastAsia="es-MX"/>
              </w:rPr>
              <w:t>n</w:t>
            </w:r>
            <w:r w:rsidRPr="00617936">
              <w:rPr>
                <w:rFonts w:ascii="Arial" w:eastAsia="Times New Roman" w:hAnsi="Arial" w:cs="Arial"/>
                <w:color w:val="000000"/>
                <w:sz w:val="20"/>
                <w:szCs w:val="20"/>
                <w:lang w:eastAsia="es-MX"/>
              </w:rPr>
              <w:t xml:space="preserve">o </w:t>
            </w:r>
            <w:r w:rsidR="00CF21B9">
              <w:rPr>
                <w:rFonts w:ascii="Arial" w:eastAsia="Times New Roman" w:hAnsi="Arial" w:cs="Arial"/>
                <w:color w:val="000000"/>
                <w:sz w:val="20"/>
                <w:szCs w:val="20"/>
                <w:lang w:eastAsia="es-MX"/>
              </w:rPr>
              <w:t>f</w:t>
            </w:r>
            <w:r w:rsidRPr="00617936">
              <w:rPr>
                <w:rFonts w:ascii="Arial" w:eastAsia="Times New Roman" w:hAnsi="Arial" w:cs="Arial"/>
                <w:color w:val="000000"/>
                <w:sz w:val="20"/>
                <w:szCs w:val="20"/>
                <w:lang w:eastAsia="es-MX"/>
              </w:rPr>
              <w:t>inancieros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1,808,623,016.00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7.3.1</w:t>
            </w:r>
            <w:r w:rsidR="00CF21B9">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Instituto para el Desarrollo de la Cultura Maya del Estado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7.3.2</w:t>
            </w:r>
            <w:r w:rsidR="00CF21B9">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Comisión Ejecutiva de Atención a Victimas</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Junta de Electrificación del Estado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7.3.4</w:t>
            </w:r>
            <w:r w:rsidR="009D15E0">
              <w:rPr>
                <w:rFonts w:ascii="Arial" w:eastAsia="Times New Roman" w:hAnsi="Arial" w:cs="Arial"/>
                <w:color w:val="000000"/>
                <w:sz w:val="20"/>
                <w:szCs w:val="20"/>
                <w:lang w:eastAsia="es-MX"/>
              </w:rPr>
              <w:t>.</w:t>
            </w:r>
          </w:p>
        </w:tc>
        <w:tc>
          <w:tcPr>
            <w:tcW w:w="2684" w:type="pct"/>
            <w:gridSpan w:val="4"/>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Instituto para el Desarrollo y Certificación de la Infraestructura Física Educativa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320,000.00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Instituto de Infraestructura Carretera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7.3.6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617936" w:rsidRDefault="008F70CC" w:rsidP="008F70CC">
            <w:pPr>
              <w:spacing w:line="240" w:lineRule="auto"/>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Junta de Agua Potable y Alcantarillado de Yucatán</w:t>
            </w:r>
          </w:p>
        </w:tc>
        <w:tc>
          <w:tcPr>
            <w:tcW w:w="1250" w:type="pct"/>
            <w:shd w:val="clear" w:color="auto" w:fill="auto"/>
            <w:noWrap/>
            <w:vAlign w:val="center"/>
            <w:hideMark/>
          </w:tcPr>
          <w:p w:rsidR="008F70CC" w:rsidRPr="00617936" w:rsidRDefault="008F70CC" w:rsidP="008F70CC">
            <w:pPr>
              <w:spacing w:line="240" w:lineRule="auto"/>
              <w:jc w:val="right"/>
              <w:rPr>
                <w:rFonts w:ascii="Arial" w:eastAsia="Times New Roman" w:hAnsi="Arial" w:cs="Arial"/>
                <w:color w:val="000000"/>
                <w:sz w:val="20"/>
                <w:szCs w:val="20"/>
                <w:lang w:eastAsia="es-MX"/>
              </w:rPr>
            </w:pPr>
            <w:r w:rsidRPr="00617936">
              <w:rPr>
                <w:rFonts w:ascii="Arial" w:eastAsia="Times New Roman" w:hAnsi="Arial" w:cs="Arial"/>
                <w:color w:val="000000"/>
                <w:sz w:val="20"/>
                <w:szCs w:val="20"/>
                <w:lang w:eastAsia="es-MX"/>
              </w:rPr>
              <w:t xml:space="preserve">                         593,722,086.00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7.3.7</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para la Construcción y Conservación de Obra Pública en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7.3.8</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Vivienda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277,452,214.00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del Deporte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8,435,505.00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Colegio de Bachilleres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7.3.11</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Colegio de Estudios Científicos y Tecnológicos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2,800,873.00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7.3.12</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Colegio de Educación Profesional Técnica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12,000,000.00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7.3.13</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Educación para Adultos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7.3.14</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Becas y Crédito Educativo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7.3.15</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Yucateco de Emprendedores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3,549,588.00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7.3.16</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Casa de las Artesanías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11,942,792.00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7.3.17</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Promotor de Ferias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87,648,883.00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7.3.18</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Patronato de las Unidades de Servicios Culturales y Turísticos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33,351,991.00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7.3.19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para el Desarrollo del Turismo de Reuniones en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68,669,799.00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hAnsi="Arial" w:cs="Arial"/>
                <w:sz w:val="20"/>
                <w:szCs w:val="20"/>
              </w:rPr>
              <w:t>Instituto de Movilidad y Desarrollo Urbano Territorial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Sistema para el Desarrollo Integral de la Familia en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14,427,969.00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Junta de Asistencia Privada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Régimen Estatal de Protección Social en Salud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Hospital General de Tekax</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Servicios de Salud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107,798,803.00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Administración del Patrimonio de la Beneficencia Pública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7.3.27</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Hospital de la Amistad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24,155,165.00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w:t>
            </w:r>
            <w:r w:rsidR="009D15E0">
              <w:rPr>
                <w:rFonts w:ascii="Arial" w:eastAsia="Times New Roman" w:hAnsi="Arial" w:cs="Arial"/>
                <w:color w:val="000000"/>
                <w:sz w:val="20"/>
                <w:szCs w:val="20"/>
                <w:lang w:eastAsia="es-MX"/>
              </w:rPr>
              <w:t>8.</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Hospital Comunitario de Ticul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172,000.00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7.3.29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Hospital Comunitario de Peto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30,395,500.00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Centro Estatal de Trasplantes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Seguridad Jurídica Patrimonial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Garante de la Orquesta Sinfónica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12,747,550.00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Historia y Museos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Secretaría Técnica de Planeación y Evaluación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Seguridad Social de los Trabajadores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446,412,096.00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Público para la Administración de la Reserva Territorial de Ucú</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7.3.37</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Escuela Superior de Artes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5,017,424.00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7.3.38</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Metropolitana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31,062,993.00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7.3.39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 Valladolid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6,199,189.00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del Centro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del Mayab</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1,311,644.00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del Poniente</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4,123,841.00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del Sur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3,497,449.00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 Motul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5,608,218.00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Tecnológico Superior de Progreso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6,090,932.00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7.3.46</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de Oriente</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5,002,453.00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7.3.47</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Tecnológica Regional del Sur</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1,127,500.00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7.3.48</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Politécnica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1,950,610.00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7.3.49</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Agencia para el Desarrollo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7.3.50</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Instituto de Capacitación para el Trabajo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1,027,949.00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7.3.51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Secretaría Ejecutiva del Sistema Estatal Anticorrupción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7.3.52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Fideicomiso Público para la Administración del Palacio de la Música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w:t>
            </w:r>
            <w:r w:rsidR="009D15E0" w:rsidRP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9D15E0"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Ingresos por v</w:t>
            </w:r>
            <w:r w:rsidR="008F70CC" w:rsidRPr="009D15E0">
              <w:rPr>
                <w:rFonts w:ascii="Arial" w:eastAsia="Times New Roman" w:hAnsi="Arial" w:cs="Arial"/>
                <w:color w:val="000000"/>
                <w:sz w:val="20"/>
                <w:szCs w:val="20"/>
                <w:lang w:eastAsia="es-MX"/>
              </w:rPr>
              <w:t xml:space="preserve">enta de </w:t>
            </w:r>
            <w:r w:rsidRPr="009D15E0">
              <w:rPr>
                <w:rFonts w:ascii="Arial" w:eastAsia="Times New Roman" w:hAnsi="Arial" w:cs="Arial"/>
                <w:color w:val="000000"/>
                <w:sz w:val="20"/>
                <w:szCs w:val="20"/>
                <w:lang w:eastAsia="es-MX"/>
              </w:rPr>
              <w:t>b</w:t>
            </w:r>
            <w:r w:rsidR="008F70CC" w:rsidRPr="009D15E0">
              <w:rPr>
                <w:rFonts w:ascii="Arial" w:eastAsia="Times New Roman" w:hAnsi="Arial" w:cs="Arial"/>
                <w:color w:val="000000"/>
                <w:sz w:val="20"/>
                <w:szCs w:val="20"/>
                <w:lang w:eastAsia="es-MX"/>
              </w:rPr>
              <w:t>ienes y</w:t>
            </w:r>
            <w:r w:rsidRPr="009D15E0">
              <w:rPr>
                <w:rFonts w:ascii="Arial" w:eastAsia="Times New Roman" w:hAnsi="Arial" w:cs="Arial"/>
                <w:color w:val="000000"/>
                <w:sz w:val="20"/>
                <w:szCs w:val="20"/>
                <w:lang w:eastAsia="es-MX"/>
              </w:rPr>
              <w:t xml:space="preserve"> p</w:t>
            </w:r>
            <w:r w:rsidR="008F70CC" w:rsidRPr="009D15E0">
              <w:rPr>
                <w:rFonts w:ascii="Arial" w:eastAsia="Times New Roman" w:hAnsi="Arial" w:cs="Arial"/>
                <w:color w:val="000000"/>
                <w:sz w:val="20"/>
                <w:szCs w:val="20"/>
                <w:lang w:eastAsia="es-MX"/>
              </w:rPr>
              <w:t xml:space="preserve">restación de </w:t>
            </w:r>
            <w:r w:rsidRPr="009D15E0">
              <w:rPr>
                <w:rFonts w:ascii="Arial" w:eastAsia="Times New Roman" w:hAnsi="Arial" w:cs="Arial"/>
                <w:color w:val="000000"/>
                <w:sz w:val="20"/>
                <w:szCs w:val="20"/>
                <w:lang w:eastAsia="es-MX"/>
              </w:rPr>
              <w:t>s</w:t>
            </w:r>
            <w:r w:rsidR="008F70CC" w:rsidRPr="009D15E0">
              <w:rPr>
                <w:rFonts w:ascii="Arial" w:eastAsia="Times New Roman" w:hAnsi="Arial" w:cs="Arial"/>
                <w:color w:val="000000"/>
                <w:sz w:val="20"/>
                <w:szCs w:val="20"/>
                <w:lang w:eastAsia="es-MX"/>
              </w:rPr>
              <w:t xml:space="preserve">ervicios de </w:t>
            </w:r>
            <w:r w:rsidRPr="009D15E0">
              <w:rPr>
                <w:rFonts w:ascii="Arial" w:eastAsia="Times New Roman" w:hAnsi="Arial" w:cs="Arial"/>
                <w:color w:val="000000"/>
                <w:sz w:val="20"/>
                <w:szCs w:val="20"/>
                <w:lang w:eastAsia="es-MX"/>
              </w:rPr>
              <w:t>e</w:t>
            </w:r>
            <w:r w:rsidR="008F70CC" w:rsidRPr="009D15E0">
              <w:rPr>
                <w:rFonts w:ascii="Arial" w:eastAsia="Times New Roman" w:hAnsi="Arial" w:cs="Arial"/>
                <w:color w:val="000000"/>
                <w:sz w:val="20"/>
                <w:szCs w:val="20"/>
                <w:lang w:eastAsia="es-MX"/>
              </w:rPr>
              <w:t xml:space="preserve">ntidades </w:t>
            </w:r>
            <w:r w:rsidRPr="009D15E0">
              <w:rPr>
                <w:rFonts w:ascii="Arial" w:eastAsia="Times New Roman" w:hAnsi="Arial" w:cs="Arial"/>
                <w:color w:val="000000"/>
                <w:sz w:val="20"/>
                <w:szCs w:val="20"/>
                <w:lang w:eastAsia="es-MX"/>
              </w:rPr>
              <w:t>p</w:t>
            </w:r>
            <w:r w:rsidR="008F70CC" w:rsidRPr="009D15E0">
              <w:rPr>
                <w:rFonts w:ascii="Arial" w:eastAsia="Times New Roman" w:hAnsi="Arial" w:cs="Arial"/>
                <w:color w:val="000000"/>
                <w:sz w:val="20"/>
                <w:szCs w:val="20"/>
                <w:lang w:eastAsia="es-MX"/>
              </w:rPr>
              <w:t xml:space="preserve">araestatales </w:t>
            </w:r>
            <w:r w:rsidRPr="009D15E0">
              <w:rPr>
                <w:rFonts w:ascii="Arial" w:eastAsia="Times New Roman" w:hAnsi="Arial" w:cs="Arial"/>
                <w:color w:val="000000"/>
                <w:sz w:val="20"/>
                <w:szCs w:val="20"/>
                <w:lang w:eastAsia="es-MX"/>
              </w:rPr>
              <w:t>e</w:t>
            </w:r>
            <w:r w:rsidR="008F70CC" w:rsidRPr="009D15E0">
              <w:rPr>
                <w:rFonts w:ascii="Arial" w:eastAsia="Times New Roman" w:hAnsi="Arial" w:cs="Arial"/>
                <w:color w:val="000000"/>
                <w:sz w:val="20"/>
                <w:szCs w:val="20"/>
                <w:lang w:eastAsia="es-MX"/>
              </w:rPr>
              <w:t xml:space="preserve">mpresariales </w:t>
            </w:r>
            <w:r w:rsidRPr="009D15E0">
              <w:rPr>
                <w:rFonts w:ascii="Arial" w:eastAsia="Times New Roman" w:hAnsi="Arial" w:cs="Arial"/>
                <w:color w:val="000000"/>
                <w:sz w:val="20"/>
                <w:szCs w:val="20"/>
                <w:lang w:eastAsia="es-MX"/>
              </w:rPr>
              <w:t>n</w:t>
            </w:r>
            <w:r w:rsidR="008F70CC" w:rsidRPr="009D15E0">
              <w:rPr>
                <w:rFonts w:ascii="Arial" w:eastAsia="Times New Roman" w:hAnsi="Arial" w:cs="Arial"/>
                <w:color w:val="000000"/>
                <w:sz w:val="20"/>
                <w:szCs w:val="20"/>
                <w:lang w:eastAsia="es-MX"/>
              </w:rPr>
              <w:t xml:space="preserve">o </w:t>
            </w:r>
            <w:r w:rsidRPr="009D15E0">
              <w:rPr>
                <w:rFonts w:ascii="Arial" w:eastAsia="Times New Roman" w:hAnsi="Arial" w:cs="Arial"/>
                <w:color w:val="000000"/>
                <w:sz w:val="20"/>
                <w:szCs w:val="20"/>
                <w:lang w:eastAsia="es-MX"/>
              </w:rPr>
              <w:t>financieras con p</w:t>
            </w:r>
            <w:r w:rsidR="008F70CC" w:rsidRPr="009D15E0">
              <w:rPr>
                <w:rFonts w:ascii="Arial" w:eastAsia="Times New Roman" w:hAnsi="Arial" w:cs="Arial"/>
                <w:color w:val="000000"/>
                <w:sz w:val="20"/>
                <w:szCs w:val="20"/>
                <w:lang w:eastAsia="es-MX"/>
              </w:rPr>
              <w:t xml:space="preserve">articipación </w:t>
            </w:r>
            <w:r w:rsidRPr="009D15E0">
              <w:rPr>
                <w:rFonts w:ascii="Arial" w:eastAsia="Times New Roman" w:hAnsi="Arial" w:cs="Arial"/>
                <w:color w:val="000000"/>
                <w:sz w:val="20"/>
                <w:szCs w:val="20"/>
                <w:lang w:eastAsia="es-MX"/>
              </w:rPr>
              <w:t>e</w:t>
            </w:r>
            <w:r w:rsidR="008F70CC" w:rsidRPr="009D15E0">
              <w:rPr>
                <w:rFonts w:ascii="Arial" w:eastAsia="Times New Roman" w:hAnsi="Arial" w:cs="Arial"/>
                <w:color w:val="000000"/>
                <w:sz w:val="20"/>
                <w:szCs w:val="20"/>
                <w:lang w:eastAsia="es-MX"/>
              </w:rPr>
              <w:t xml:space="preserve">statal </w:t>
            </w:r>
            <w:r w:rsidRPr="009D15E0">
              <w:rPr>
                <w:rFonts w:ascii="Arial" w:eastAsia="Times New Roman" w:hAnsi="Arial" w:cs="Arial"/>
                <w:color w:val="000000"/>
                <w:sz w:val="20"/>
                <w:szCs w:val="20"/>
                <w:lang w:eastAsia="es-MX"/>
              </w:rPr>
              <w:t>m</w:t>
            </w:r>
            <w:r w:rsidR="008F70CC" w:rsidRPr="009D15E0">
              <w:rPr>
                <w:rFonts w:ascii="Arial" w:eastAsia="Times New Roman" w:hAnsi="Arial" w:cs="Arial"/>
                <w:color w:val="000000"/>
                <w:sz w:val="20"/>
                <w:szCs w:val="20"/>
                <w:lang w:eastAsia="es-MX"/>
              </w:rPr>
              <w:t>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36,303,700.00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Fábrica de Postes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Sistema Tele Yucatán S.A. de C.V.</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14,504,996.00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7.4.3</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Aeropuerto de Chichén Itzá de Yucatán S. A. de C.V.</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3,695,992.00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7.4.4</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Empresa Portuaria Yucateca S. A. de C.V.</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18,102,712.00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7.5</w:t>
            </w:r>
            <w:r w:rsid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por </w:t>
            </w:r>
            <w:r w:rsidR="009D15E0">
              <w:rPr>
                <w:rFonts w:ascii="Arial" w:eastAsia="Times New Roman" w:hAnsi="Arial" w:cs="Arial"/>
                <w:color w:val="000000"/>
                <w:sz w:val="20"/>
                <w:szCs w:val="20"/>
                <w:lang w:eastAsia="es-MX"/>
              </w:rPr>
              <w:t>v</w:t>
            </w:r>
            <w:r w:rsidRPr="009D15E0">
              <w:rPr>
                <w:rFonts w:ascii="Arial" w:eastAsia="Times New Roman" w:hAnsi="Arial" w:cs="Arial"/>
                <w:color w:val="000000"/>
                <w:sz w:val="20"/>
                <w:szCs w:val="20"/>
                <w:lang w:eastAsia="es-MX"/>
              </w:rPr>
              <w:t xml:space="preserve">enta de </w:t>
            </w:r>
            <w:r w:rsidR="009D15E0">
              <w:rPr>
                <w:rFonts w:ascii="Arial" w:eastAsia="Times New Roman" w:hAnsi="Arial" w:cs="Arial"/>
                <w:color w:val="000000"/>
                <w:sz w:val="20"/>
                <w:szCs w:val="20"/>
                <w:lang w:eastAsia="es-MX"/>
              </w:rPr>
              <w:t>b</w:t>
            </w:r>
            <w:r w:rsidRPr="009D15E0">
              <w:rPr>
                <w:rFonts w:ascii="Arial" w:eastAsia="Times New Roman" w:hAnsi="Arial" w:cs="Arial"/>
                <w:color w:val="000000"/>
                <w:sz w:val="20"/>
                <w:szCs w:val="20"/>
                <w:lang w:eastAsia="es-MX"/>
              </w:rPr>
              <w:t xml:space="preserve">ienes y </w:t>
            </w:r>
            <w:r w:rsidR="009D15E0">
              <w:rPr>
                <w:rFonts w:ascii="Arial" w:eastAsia="Times New Roman" w:hAnsi="Arial" w:cs="Arial"/>
                <w:color w:val="000000"/>
                <w:sz w:val="20"/>
                <w:szCs w:val="20"/>
                <w:lang w:eastAsia="es-MX"/>
              </w:rPr>
              <w:t>p</w:t>
            </w:r>
            <w:r w:rsidRPr="009D15E0">
              <w:rPr>
                <w:rFonts w:ascii="Arial" w:eastAsia="Times New Roman" w:hAnsi="Arial" w:cs="Arial"/>
                <w:color w:val="000000"/>
                <w:sz w:val="20"/>
                <w:szCs w:val="20"/>
                <w:lang w:eastAsia="es-MX"/>
              </w:rPr>
              <w:t xml:space="preserve">restación de </w:t>
            </w:r>
            <w:r w:rsidR="009D15E0">
              <w:rPr>
                <w:rFonts w:ascii="Arial" w:eastAsia="Times New Roman" w:hAnsi="Arial" w:cs="Arial"/>
                <w:color w:val="000000"/>
                <w:sz w:val="20"/>
                <w:szCs w:val="20"/>
                <w:lang w:eastAsia="es-MX"/>
              </w:rPr>
              <w:t>servicios de e</w:t>
            </w:r>
            <w:r w:rsidRPr="009D15E0">
              <w:rPr>
                <w:rFonts w:ascii="Arial" w:eastAsia="Times New Roman" w:hAnsi="Arial" w:cs="Arial"/>
                <w:color w:val="000000"/>
                <w:sz w:val="20"/>
                <w:szCs w:val="20"/>
                <w:lang w:eastAsia="es-MX"/>
              </w:rPr>
              <w:t xml:space="preserve">ntidades </w:t>
            </w:r>
            <w:r w:rsidR="009D15E0">
              <w:rPr>
                <w:rFonts w:ascii="Arial" w:eastAsia="Times New Roman" w:hAnsi="Arial" w:cs="Arial"/>
                <w:color w:val="000000"/>
                <w:sz w:val="20"/>
                <w:szCs w:val="20"/>
                <w:lang w:eastAsia="es-MX"/>
              </w:rPr>
              <w:t>p</w:t>
            </w:r>
            <w:r w:rsidRPr="009D15E0">
              <w:rPr>
                <w:rFonts w:ascii="Arial" w:eastAsia="Times New Roman" w:hAnsi="Arial" w:cs="Arial"/>
                <w:color w:val="000000"/>
                <w:sz w:val="20"/>
                <w:szCs w:val="20"/>
                <w:lang w:eastAsia="es-MX"/>
              </w:rPr>
              <w:t xml:space="preserve">araestatales </w:t>
            </w:r>
            <w:r w:rsidR="009D15E0">
              <w:rPr>
                <w:rFonts w:ascii="Arial" w:eastAsia="Times New Roman" w:hAnsi="Arial" w:cs="Arial"/>
                <w:color w:val="000000"/>
                <w:sz w:val="20"/>
                <w:szCs w:val="20"/>
                <w:lang w:eastAsia="es-MX"/>
              </w:rPr>
              <w:t>e</w:t>
            </w:r>
            <w:r w:rsidRPr="009D15E0">
              <w:rPr>
                <w:rFonts w:ascii="Arial" w:eastAsia="Times New Roman" w:hAnsi="Arial" w:cs="Arial"/>
                <w:color w:val="000000"/>
                <w:sz w:val="20"/>
                <w:szCs w:val="20"/>
                <w:lang w:eastAsia="es-MX"/>
              </w:rPr>
              <w:t>mpresarial</w:t>
            </w:r>
            <w:r w:rsidR="009D15E0">
              <w:rPr>
                <w:rFonts w:ascii="Arial" w:eastAsia="Times New Roman" w:hAnsi="Arial" w:cs="Arial"/>
                <w:color w:val="000000"/>
                <w:sz w:val="20"/>
                <w:szCs w:val="20"/>
                <w:lang w:eastAsia="es-MX"/>
              </w:rPr>
              <w:t>es f</w:t>
            </w:r>
            <w:r w:rsidRPr="009D15E0">
              <w:rPr>
                <w:rFonts w:ascii="Arial" w:eastAsia="Times New Roman" w:hAnsi="Arial" w:cs="Arial"/>
                <w:color w:val="000000"/>
                <w:sz w:val="20"/>
                <w:szCs w:val="20"/>
                <w:lang w:eastAsia="es-MX"/>
              </w:rPr>
              <w:t xml:space="preserve">inancieras </w:t>
            </w:r>
            <w:r w:rsidR="009D15E0">
              <w:rPr>
                <w:rFonts w:ascii="Arial" w:eastAsia="Times New Roman" w:hAnsi="Arial" w:cs="Arial"/>
                <w:color w:val="000000"/>
                <w:sz w:val="20"/>
                <w:szCs w:val="20"/>
                <w:lang w:eastAsia="es-MX"/>
              </w:rPr>
              <w:t>m</w:t>
            </w:r>
            <w:r w:rsidRPr="009D15E0">
              <w:rPr>
                <w:rFonts w:ascii="Arial" w:eastAsia="Times New Roman" w:hAnsi="Arial" w:cs="Arial"/>
                <w:color w:val="000000"/>
                <w:sz w:val="20"/>
                <w:szCs w:val="20"/>
                <w:lang w:eastAsia="es-MX"/>
              </w:rPr>
              <w:t xml:space="preserve">onetarias con </w:t>
            </w:r>
            <w:r w:rsidR="009D15E0">
              <w:rPr>
                <w:rFonts w:ascii="Arial" w:eastAsia="Times New Roman" w:hAnsi="Arial" w:cs="Arial"/>
                <w:color w:val="000000"/>
                <w:sz w:val="20"/>
                <w:szCs w:val="20"/>
                <w:lang w:eastAsia="es-MX"/>
              </w:rPr>
              <w:t>p</w:t>
            </w:r>
            <w:r w:rsidRPr="009D15E0">
              <w:rPr>
                <w:rFonts w:ascii="Arial" w:eastAsia="Times New Roman" w:hAnsi="Arial" w:cs="Arial"/>
                <w:color w:val="000000"/>
                <w:sz w:val="20"/>
                <w:szCs w:val="20"/>
                <w:lang w:eastAsia="es-MX"/>
              </w:rPr>
              <w:t xml:space="preserve">articipación </w:t>
            </w:r>
            <w:r w:rsidR="009D15E0">
              <w:rPr>
                <w:rFonts w:ascii="Arial" w:eastAsia="Times New Roman" w:hAnsi="Arial" w:cs="Arial"/>
                <w:color w:val="000000"/>
                <w:sz w:val="20"/>
                <w:szCs w:val="20"/>
                <w:lang w:eastAsia="es-MX"/>
              </w:rPr>
              <w:t>e</w:t>
            </w:r>
            <w:r w:rsidRPr="009D15E0">
              <w:rPr>
                <w:rFonts w:ascii="Arial" w:eastAsia="Times New Roman" w:hAnsi="Arial" w:cs="Arial"/>
                <w:color w:val="000000"/>
                <w:sz w:val="20"/>
                <w:szCs w:val="20"/>
                <w:lang w:eastAsia="es-MX"/>
              </w:rPr>
              <w:t xml:space="preserve">statal </w:t>
            </w:r>
            <w:r w:rsidR="009D15E0">
              <w:rPr>
                <w:rFonts w:ascii="Arial" w:eastAsia="Times New Roman" w:hAnsi="Arial" w:cs="Arial"/>
                <w:color w:val="000000"/>
                <w:sz w:val="20"/>
                <w:szCs w:val="20"/>
                <w:lang w:eastAsia="es-MX"/>
              </w:rPr>
              <w:t>m</w:t>
            </w:r>
            <w:r w:rsidRPr="009D15E0">
              <w:rPr>
                <w:rFonts w:ascii="Arial" w:eastAsia="Times New Roman" w:hAnsi="Arial" w:cs="Arial"/>
                <w:color w:val="000000"/>
                <w:sz w:val="20"/>
                <w:szCs w:val="20"/>
                <w:lang w:eastAsia="es-MX"/>
              </w:rPr>
              <w:t>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765"/>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7.6</w:t>
            </w:r>
            <w:r w:rsid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por </w:t>
            </w:r>
            <w:r w:rsidR="009D15E0" w:rsidRPr="009D15E0">
              <w:rPr>
                <w:rFonts w:ascii="Arial" w:eastAsia="Times New Roman" w:hAnsi="Arial" w:cs="Arial"/>
                <w:color w:val="000000"/>
                <w:sz w:val="20"/>
                <w:szCs w:val="20"/>
                <w:lang w:eastAsia="es-MX"/>
              </w:rPr>
              <w:t>venta de bienes y prestación de servicios de entidades paraestatales empresariales financieras no monetarias con participación estatal mayoritaria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7.7</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por </w:t>
            </w:r>
            <w:r w:rsidR="009D15E0" w:rsidRPr="009D15E0">
              <w:rPr>
                <w:rFonts w:ascii="Arial" w:eastAsia="Times New Roman" w:hAnsi="Arial" w:cs="Arial"/>
                <w:color w:val="000000"/>
                <w:sz w:val="20"/>
                <w:szCs w:val="20"/>
                <w:lang w:eastAsia="es-MX"/>
              </w:rPr>
              <w:t>venta de bienes y prestación de servicios de fideicomisos financieros públicos con participación estatal mayoritaria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7.8</w:t>
            </w:r>
            <w:r w:rsidR="009D15E0">
              <w:rPr>
                <w:rFonts w:ascii="Arial" w:eastAsia="Times New Roman" w:hAnsi="Arial" w:cs="Arial"/>
                <w:color w:val="000000"/>
                <w:sz w:val="20"/>
                <w:szCs w:val="20"/>
                <w:lang w:eastAsia="es-MX"/>
              </w:rPr>
              <w:t>.</w:t>
            </w:r>
          </w:p>
        </w:tc>
        <w:tc>
          <w:tcPr>
            <w:tcW w:w="3157" w:type="pct"/>
            <w:gridSpan w:val="6"/>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Ingresos </w:t>
            </w:r>
            <w:r w:rsidR="009D15E0" w:rsidRPr="009D15E0">
              <w:rPr>
                <w:rFonts w:ascii="Arial" w:eastAsia="Times New Roman" w:hAnsi="Arial" w:cs="Arial"/>
                <w:color w:val="000000"/>
                <w:sz w:val="20"/>
                <w:szCs w:val="20"/>
                <w:lang w:eastAsia="es-MX"/>
              </w:rPr>
              <w:t>por venta de bienes y prestación de servicios de los poderes legislativo y judicial, y de los órganos autónomos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255,000,000.00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7.8.1</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Universidad Autónoma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255,000,000.00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7.8.2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Tribunal de Justicia Administrativa del Estado de Yucatán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7.9</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Otros Ingresos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0.0   </w:t>
            </w:r>
          </w:p>
        </w:tc>
      </w:tr>
      <w:tr w:rsidR="008F70CC" w:rsidRPr="00044038" w:rsidTr="008F70CC">
        <w:trPr>
          <w:trHeight w:val="510"/>
        </w:trPr>
        <w:tc>
          <w:tcPr>
            <w:tcW w:w="111"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b/>
                <w:bCs/>
                <w:color w:val="000000"/>
                <w:lang w:eastAsia="es-MX"/>
              </w:rPr>
            </w:pPr>
            <w:r w:rsidRPr="009D15E0">
              <w:rPr>
                <w:rFonts w:ascii="Arial" w:eastAsia="Times New Roman" w:hAnsi="Arial" w:cs="Arial"/>
                <w:b/>
                <w:bCs/>
                <w:color w:val="000000"/>
                <w:lang w:eastAsia="es-MX"/>
              </w:rPr>
              <w:lastRenderedPageBreak/>
              <w:t>8</w:t>
            </w:r>
          </w:p>
        </w:tc>
        <w:tc>
          <w:tcPr>
            <w:tcW w:w="3638" w:type="pct"/>
            <w:gridSpan w:val="8"/>
            <w:shd w:val="clear" w:color="auto" w:fill="auto"/>
            <w:vAlign w:val="center"/>
            <w:hideMark/>
          </w:tcPr>
          <w:p w:rsidR="008F70CC" w:rsidRPr="009D15E0" w:rsidRDefault="008F70CC" w:rsidP="008F70CC">
            <w:pPr>
              <w:spacing w:line="240" w:lineRule="auto"/>
              <w:rPr>
                <w:rFonts w:ascii="Arial" w:eastAsia="Times New Roman" w:hAnsi="Arial" w:cs="Arial"/>
                <w:b/>
                <w:bCs/>
                <w:color w:val="000000"/>
                <w:lang w:eastAsia="es-MX"/>
              </w:rPr>
            </w:pPr>
            <w:r w:rsidRPr="009D15E0">
              <w:rPr>
                <w:rFonts w:ascii="Arial" w:eastAsia="Times New Roman" w:hAnsi="Arial" w:cs="Arial"/>
                <w:b/>
                <w:bCs/>
                <w:color w:val="000000"/>
                <w:lang w:eastAsia="es-MX"/>
              </w:rPr>
              <w:t>Participaciones, Aportaciones, Convenios, Incentivos Derivados de la Colaboración Fiscal y Fondos Distintos de Aportaciones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b/>
                <w:bCs/>
                <w:color w:val="000000"/>
                <w:lang w:eastAsia="es-MX"/>
              </w:rPr>
            </w:pPr>
            <w:r w:rsidRPr="009D15E0">
              <w:rPr>
                <w:rFonts w:ascii="Arial" w:eastAsia="Times New Roman" w:hAnsi="Arial" w:cs="Arial"/>
                <w:b/>
                <w:bCs/>
                <w:color w:val="000000"/>
                <w:lang w:eastAsia="es-MX"/>
              </w:rPr>
              <w:t xml:space="preserve">                   31,773,897,240.00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8.1</w:t>
            </w:r>
            <w:r w:rsid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Participaciones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14,813,109,213.00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8.1.1</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General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10,753,430,086.00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8.1.2</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Fomento Municipal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953,894,945.00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9D15E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8.1.3</w:t>
            </w:r>
            <w:r w:rsidR="009D15E0" w:rsidRP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Especial sobre Producción y Servicios (IEPS)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291,051,625.00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8.1.4</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Compensación sobre Automóviles Nuevos (ISAN)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34,723,008.00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8.1.5</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Fiscalización y Recaudación (FOFIR)</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1,138,446,317.00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8.1.6</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Compensación (Repecos e Intermedios)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31,154,833.00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8.1.7</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Venta final de gasolina y diésel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415,524,652.00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8.1.8</w:t>
            </w:r>
            <w:r w:rsidR="009D15E0" w:rsidRP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ISR</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1,194,883,747.00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8.2</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Aportaciones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13,124,756,419.00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8.2.1</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Nómina Educativa y Gasto Operativo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5,790,898,314.00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8.2.2</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los Servicios de Salud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2,091,211,000.00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8.2.3</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infraestructura Social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1,820,716,000.00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8.2.4</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el Fortalecimiento de los Municipios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1,455,760,000.00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8.2.5</w:t>
            </w:r>
            <w:r w:rsidR="009D15E0">
              <w:rPr>
                <w:rFonts w:ascii="Arial" w:eastAsia="Times New Roman" w:hAnsi="Arial" w:cs="Arial"/>
                <w:color w:val="000000"/>
                <w:sz w:val="20"/>
                <w:szCs w:val="20"/>
                <w:lang w:eastAsia="es-MX"/>
              </w:rPr>
              <w:t>.</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Múltiples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748,324,705.00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8.2.6</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Educación Tecnológica y de Adultos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183,348,000.00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8.2.7</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la Seguridad Pública de los Estados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185,869,400.00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9D15E0" w:rsidRDefault="009D15E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8.2.8.</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Fondo de Aportaciones para el Fortalecimiento de las Entidades Federativas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848,629,000.00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8.3</w:t>
            </w:r>
            <w:r w:rsidR="009D15E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Convenios</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3,411,316,692.00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8.3.1</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Salud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1,326,388,899.00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8.3.2.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Educación </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1,580,971,621.00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8.3.3.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Económico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40,614,000.00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8.3.4. </w:t>
            </w:r>
          </w:p>
        </w:tc>
        <w:tc>
          <w:tcPr>
            <w:tcW w:w="2684" w:type="pct"/>
            <w:gridSpan w:val="4"/>
            <w:shd w:val="clear" w:color="auto" w:fill="auto"/>
            <w:noWrap/>
            <w:vAlign w:val="center"/>
            <w:hideMark/>
          </w:tcPr>
          <w:p w:rsidR="008F70CC" w:rsidRPr="009D15E0" w:rsidRDefault="0048356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Social y h</w:t>
            </w:r>
            <w:r w:rsidR="008F70CC" w:rsidRPr="009D15E0">
              <w:rPr>
                <w:rFonts w:ascii="Arial" w:eastAsia="Times New Roman" w:hAnsi="Arial" w:cs="Arial"/>
                <w:color w:val="000000"/>
                <w:sz w:val="20"/>
                <w:szCs w:val="20"/>
                <w:lang w:eastAsia="es-MX"/>
              </w:rPr>
              <w:t>umano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w:t>
            </w:r>
            <w:r w:rsidRPr="009D15E0">
              <w:rPr>
                <w:rFonts w:ascii="Arial" w:eastAsia="Times New Roman" w:hAnsi="Arial" w:cs="Arial"/>
                <w:color w:val="000000"/>
                <w:sz w:val="20"/>
                <w:szCs w:val="20"/>
                <w:lang w:eastAsia="es-MX"/>
              </w:rPr>
              <w:lastRenderedPageBreak/>
              <w:t xml:space="preserve">3,399,841.00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8.3.5</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Seguridad</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61,148,871.00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8.3.6</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483560">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Buen </w:t>
            </w:r>
            <w:r w:rsidR="00483560">
              <w:rPr>
                <w:rFonts w:ascii="Arial" w:eastAsia="Times New Roman" w:hAnsi="Arial" w:cs="Arial"/>
                <w:color w:val="000000"/>
                <w:sz w:val="20"/>
                <w:szCs w:val="20"/>
                <w:lang w:eastAsia="es-MX"/>
              </w:rPr>
              <w:t>g</w:t>
            </w:r>
            <w:r w:rsidRPr="009D15E0">
              <w:rPr>
                <w:rFonts w:ascii="Arial" w:eastAsia="Times New Roman" w:hAnsi="Arial" w:cs="Arial"/>
                <w:color w:val="000000"/>
                <w:sz w:val="20"/>
                <w:szCs w:val="20"/>
                <w:lang w:eastAsia="es-MX"/>
              </w:rPr>
              <w:t>obierno</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52,248,386.00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8.3.7</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Ramo 23</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101,991,270.00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8.3.8</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48356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Comunicación y t</w:t>
            </w:r>
            <w:r w:rsidR="008F70CC" w:rsidRPr="009D15E0">
              <w:rPr>
                <w:rFonts w:ascii="Arial" w:eastAsia="Times New Roman" w:hAnsi="Arial" w:cs="Arial"/>
                <w:color w:val="000000"/>
                <w:sz w:val="20"/>
                <w:szCs w:val="20"/>
                <w:lang w:eastAsia="es-MX"/>
              </w:rPr>
              <w:t>ransporte</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127,305,000.00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noWrap/>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8.3.9</w:t>
            </w:r>
            <w:r w:rsidR="009D15E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483560" w:rsidP="00483560">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Agricultura, ganadería, d</w:t>
            </w:r>
            <w:r w:rsidR="008F70CC" w:rsidRPr="009D15E0">
              <w:rPr>
                <w:rFonts w:ascii="Arial" w:eastAsia="Times New Roman" w:hAnsi="Arial" w:cs="Arial"/>
                <w:color w:val="000000"/>
                <w:sz w:val="20"/>
                <w:szCs w:val="20"/>
                <w:lang w:eastAsia="es-MX"/>
              </w:rPr>
              <w:t xml:space="preserve">esarrollo </w:t>
            </w:r>
            <w:r>
              <w:rPr>
                <w:rFonts w:ascii="Arial" w:eastAsia="Times New Roman" w:hAnsi="Arial" w:cs="Arial"/>
                <w:color w:val="000000"/>
                <w:sz w:val="20"/>
                <w:szCs w:val="20"/>
                <w:lang w:eastAsia="es-MX"/>
              </w:rPr>
              <w:t>rural, p</w:t>
            </w:r>
            <w:r w:rsidR="008F70CC" w:rsidRPr="009D15E0">
              <w:rPr>
                <w:rFonts w:ascii="Arial" w:eastAsia="Times New Roman" w:hAnsi="Arial" w:cs="Arial"/>
                <w:color w:val="000000"/>
                <w:sz w:val="20"/>
                <w:szCs w:val="20"/>
                <w:lang w:eastAsia="es-MX"/>
              </w:rPr>
              <w:t xml:space="preserve">esca y </w:t>
            </w:r>
            <w:r>
              <w:rPr>
                <w:rFonts w:ascii="Arial" w:eastAsia="Times New Roman" w:hAnsi="Arial" w:cs="Arial"/>
                <w:color w:val="000000"/>
                <w:sz w:val="20"/>
                <w:szCs w:val="20"/>
                <w:lang w:eastAsia="es-MX"/>
              </w:rPr>
              <w:t>a</w:t>
            </w:r>
            <w:r w:rsidR="008F70CC" w:rsidRPr="009D15E0">
              <w:rPr>
                <w:rFonts w:ascii="Arial" w:eastAsia="Times New Roman" w:hAnsi="Arial" w:cs="Arial"/>
                <w:color w:val="000000"/>
                <w:sz w:val="20"/>
                <w:szCs w:val="20"/>
                <w:lang w:eastAsia="es-MX"/>
              </w:rPr>
              <w:t>limentación</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117,248,804.00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8.4</w:t>
            </w:r>
            <w:r w:rsid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9D15E0" w:rsidRDefault="009D15E0" w:rsidP="00483560">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Incentivos d</w:t>
            </w:r>
            <w:r w:rsidR="008F70CC" w:rsidRPr="009D15E0">
              <w:rPr>
                <w:rFonts w:ascii="Arial" w:eastAsia="Times New Roman" w:hAnsi="Arial" w:cs="Arial"/>
                <w:color w:val="000000"/>
                <w:sz w:val="20"/>
                <w:szCs w:val="20"/>
                <w:lang w:eastAsia="es-MX"/>
              </w:rPr>
              <w:t>erivado</w:t>
            </w:r>
            <w:r>
              <w:rPr>
                <w:rFonts w:ascii="Arial" w:eastAsia="Times New Roman" w:hAnsi="Arial" w:cs="Arial"/>
                <w:color w:val="000000"/>
                <w:sz w:val="20"/>
                <w:szCs w:val="20"/>
                <w:lang w:eastAsia="es-MX"/>
              </w:rPr>
              <w:t>s</w:t>
            </w:r>
            <w:r w:rsidR="008F70CC" w:rsidRPr="009D15E0">
              <w:rPr>
                <w:rFonts w:ascii="Arial" w:eastAsia="Times New Roman" w:hAnsi="Arial" w:cs="Arial"/>
                <w:color w:val="000000"/>
                <w:sz w:val="20"/>
                <w:szCs w:val="20"/>
                <w:lang w:eastAsia="es-MX"/>
              </w:rPr>
              <w:t xml:space="preserve"> de la </w:t>
            </w:r>
            <w:r w:rsidR="00483560">
              <w:rPr>
                <w:rFonts w:ascii="Arial" w:eastAsia="Times New Roman" w:hAnsi="Arial" w:cs="Arial"/>
                <w:color w:val="000000"/>
                <w:sz w:val="20"/>
                <w:szCs w:val="20"/>
                <w:lang w:eastAsia="es-MX"/>
              </w:rPr>
              <w:t>c</w:t>
            </w:r>
            <w:r w:rsidR="008F70CC" w:rsidRPr="009D15E0">
              <w:rPr>
                <w:rFonts w:ascii="Arial" w:eastAsia="Times New Roman" w:hAnsi="Arial" w:cs="Arial"/>
                <w:color w:val="000000"/>
                <w:sz w:val="20"/>
                <w:szCs w:val="20"/>
                <w:lang w:eastAsia="es-MX"/>
              </w:rPr>
              <w:t xml:space="preserve">olaboración </w:t>
            </w:r>
            <w:r w:rsidR="00483560">
              <w:rPr>
                <w:rFonts w:ascii="Arial" w:eastAsia="Times New Roman" w:hAnsi="Arial" w:cs="Arial"/>
                <w:color w:val="000000"/>
                <w:sz w:val="20"/>
                <w:szCs w:val="20"/>
                <w:lang w:eastAsia="es-MX"/>
              </w:rPr>
              <w:t>f</w:t>
            </w:r>
            <w:r w:rsidR="008F70CC" w:rsidRPr="009D15E0">
              <w:rPr>
                <w:rFonts w:ascii="Arial" w:eastAsia="Times New Roman" w:hAnsi="Arial" w:cs="Arial"/>
                <w:color w:val="000000"/>
                <w:sz w:val="20"/>
                <w:szCs w:val="20"/>
                <w:lang w:eastAsia="es-MX"/>
              </w:rPr>
              <w:t>iscal</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424,714,916.00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73" w:type="pct"/>
            <w:gridSpan w:val="2"/>
            <w:shd w:val="clear" w:color="auto" w:fill="auto"/>
            <w:vAlign w:val="center"/>
            <w:hideMark/>
          </w:tcPr>
          <w:p w:rsidR="008F70CC" w:rsidRPr="009D15E0" w:rsidRDefault="008F70CC" w:rsidP="008F70CC">
            <w:pPr>
              <w:spacing w:line="240" w:lineRule="auto"/>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8.4.1</w:t>
            </w:r>
            <w:r w:rsidR="00483560">
              <w:rPr>
                <w:rFonts w:ascii="Arial" w:eastAsia="Times New Roman" w:hAnsi="Arial" w:cs="Arial"/>
                <w:color w:val="000000"/>
                <w:sz w:val="20"/>
                <w:szCs w:val="20"/>
                <w:lang w:eastAsia="es-MX"/>
              </w:rPr>
              <w:t>.</w:t>
            </w:r>
            <w:r w:rsidRPr="009D15E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9D15E0" w:rsidRDefault="00483560" w:rsidP="008F70CC">
            <w:pPr>
              <w:spacing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Incentivos por colaboración a</w:t>
            </w:r>
            <w:r w:rsidR="008F70CC" w:rsidRPr="009D15E0">
              <w:rPr>
                <w:rFonts w:ascii="Arial" w:eastAsia="Times New Roman" w:hAnsi="Arial" w:cs="Arial"/>
                <w:color w:val="000000"/>
                <w:sz w:val="20"/>
                <w:szCs w:val="20"/>
                <w:lang w:eastAsia="es-MX"/>
              </w:rPr>
              <w:t>dministrativa</w:t>
            </w:r>
          </w:p>
        </w:tc>
        <w:tc>
          <w:tcPr>
            <w:tcW w:w="1250" w:type="pct"/>
            <w:shd w:val="clear" w:color="auto" w:fill="auto"/>
            <w:noWrap/>
            <w:vAlign w:val="center"/>
            <w:hideMark/>
          </w:tcPr>
          <w:p w:rsidR="008F70CC" w:rsidRPr="009D15E0" w:rsidRDefault="008F70CC" w:rsidP="008F70CC">
            <w:pPr>
              <w:spacing w:line="240" w:lineRule="auto"/>
              <w:jc w:val="right"/>
              <w:rPr>
                <w:rFonts w:ascii="Arial" w:eastAsia="Times New Roman" w:hAnsi="Arial" w:cs="Arial"/>
                <w:color w:val="000000"/>
                <w:sz w:val="20"/>
                <w:szCs w:val="20"/>
                <w:lang w:eastAsia="es-MX"/>
              </w:rPr>
            </w:pPr>
            <w:r w:rsidRPr="009D15E0">
              <w:rPr>
                <w:rFonts w:ascii="Arial" w:eastAsia="Times New Roman" w:hAnsi="Arial" w:cs="Arial"/>
                <w:color w:val="000000"/>
                <w:sz w:val="20"/>
                <w:szCs w:val="20"/>
                <w:lang w:eastAsia="es-MX"/>
              </w:rPr>
              <w:t xml:space="preserve">                         424,714,916.00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8.5. </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Fondos distintos de a</w:t>
            </w:r>
            <w:r w:rsidR="008F70CC" w:rsidRPr="00483560">
              <w:rPr>
                <w:rFonts w:ascii="Arial" w:eastAsia="Times New Roman" w:hAnsi="Arial" w:cs="Arial"/>
                <w:color w:val="000000"/>
                <w:sz w:val="20"/>
                <w:szCs w:val="20"/>
                <w:lang w:eastAsia="es-MX"/>
              </w:rPr>
              <w:t>portaciones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9</w:t>
            </w:r>
          </w:p>
        </w:tc>
        <w:tc>
          <w:tcPr>
            <w:tcW w:w="3638" w:type="pct"/>
            <w:gridSpan w:val="8"/>
            <w:shd w:val="clear" w:color="auto" w:fill="auto"/>
            <w:noWrap/>
            <w:vAlign w:val="center"/>
            <w:hideMark/>
          </w:tcPr>
          <w:p w:rsidR="008F70CC" w:rsidRPr="00044038" w:rsidRDefault="008F70CC" w:rsidP="008F70CC">
            <w:pPr>
              <w:spacing w:line="240" w:lineRule="auto"/>
              <w:rPr>
                <w:rFonts w:ascii="Arial" w:eastAsia="Times New Roman" w:hAnsi="Arial" w:cs="Arial"/>
                <w:b/>
                <w:bCs/>
                <w:color w:val="000000"/>
                <w:lang w:eastAsia="es-MX"/>
              </w:rPr>
            </w:pPr>
            <w:r w:rsidRPr="00044038">
              <w:rPr>
                <w:rFonts w:ascii="Arial" w:eastAsia="Times New Roman" w:hAnsi="Arial" w:cs="Arial"/>
                <w:b/>
                <w:bCs/>
                <w:color w:val="000000"/>
                <w:lang w:eastAsia="es-MX"/>
              </w:rPr>
              <w:t>Transferencias, Asignaciones, Subsidios y Subvenciones, y Pensiones y Jubilaciones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1,905,583,881.00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9.1</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8F70CC" w:rsidP="00483560">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Transferencias y </w:t>
            </w:r>
            <w:r w:rsidR="00483560" w:rsidRPr="00483560">
              <w:rPr>
                <w:rFonts w:ascii="Arial" w:eastAsia="Times New Roman" w:hAnsi="Arial" w:cs="Arial"/>
                <w:color w:val="000000"/>
                <w:sz w:val="20"/>
                <w:szCs w:val="20"/>
                <w:lang w:eastAsia="es-MX"/>
              </w:rPr>
              <w:t>a</w:t>
            </w:r>
            <w:r w:rsidRPr="00483560">
              <w:rPr>
                <w:rFonts w:ascii="Arial" w:eastAsia="Times New Roman" w:hAnsi="Arial" w:cs="Arial"/>
                <w:color w:val="000000"/>
                <w:sz w:val="20"/>
                <w:szCs w:val="20"/>
                <w:lang w:eastAsia="es-MX"/>
              </w:rPr>
              <w:t xml:space="preserve">signaciones </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w:t>
            </w:r>
            <w:r w:rsidR="00483560" w:rsidRPr="00483560">
              <w:rPr>
                <w:rFonts w:ascii="Arial" w:eastAsia="Times New Roman" w:hAnsi="Arial" w:cs="Arial"/>
                <w:color w:val="000000"/>
                <w:sz w:val="20"/>
                <w:szCs w:val="20"/>
                <w:lang w:eastAsia="es-MX"/>
              </w:rPr>
              <w:t>2.</w:t>
            </w:r>
          </w:p>
        </w:tc>
        <w:tc>
          <w:tcPr>
            <w:tcW w:w="3157" w:type="pct"/>
            <w:gridSpan w:val="6"/>
            <w:shd w:val="clear" w:color="auto" w:fill="auto"/>
            <w:noWrap/>
            <w:vAlign w:val="center"/>
            <w:hideMark/>
          </w:tcPr>
          <w:p w:rsidR="008F70CC" w:rsidRPr="00483560" w:rsidRDefault="008F70CC" w:rsidP="00483560">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Subsidios y </w:t>
            </w:r>
            <w:r w:rsidR="00483560" w:rsidRPr="00483560">
              <w:rPr>
                <w:rFonts w:ascii="Arial" w:eastAsia="Times New Roman" w:hAnsi="Arial" w:cs="Arial"/>
                <w:color w:val="000000"/>
                <w:sz w:val="20"/>
                <w:szCs w:val="20"/>
                <w:lang w:eastAsia="es-MX"/>
              </w:rPr>
              <w:t>s</w:t>
            </w:r>
            <w:r w:rsidRPr="00483560">
              <w:rPr>
                <w:rFonts w:ascii="Arial" w:eastAsia="Times New Roman" w:hAnsi="Arial" w:cs="Arial"/>
                <w:color w:val="000000"/>
                <w:sz w:val="20"/>
                <w:szCs w:val="20"/>
                <w:lang w:eastAsia="es-MX"/>
              </w:rPr>
              <w:t>ubvenciones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1,905,583,881.00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483560" w:rsidRDefault="008F70CC" w:rsidP="00483560">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9.</w:t>
            </w:r>
            <w:r w:rsidR="00483560" w:rsidRPr="00483560">
              <w:rPr>
                <w:rFonts w:ascii="Arial" w:eastAsia="Times New Roman" w:hAnsi="Arial" w:cs="Arial"/>
                <w:color w:val="000000"/>
                <w:sz w:val="20"/>
                <w:szCs w:val="20"/>
                <w:lang w:eastAsia="es-MX"/>
              </w:rPr>
              <w:t>2</w:t>
            </w:r>
            <w:r w:rsidRPr="00483560">
              <w:rPr>
                <w:rFonts w:ascii="Arial" w:eastAsia="Times New Roman" w:hAnsi="Arial" w:cs="Arial"/>
                <w:color w:val="000000"/>
                <w:sz w:val="20"/>
                <w:szCs w:val="20"/>
                <w:lang w:eastAsia="es-MX"/>
              </w:rPr>
              <w:t>.1</w:t>
            </w:r>
            <w:r w:rsidR="00483560" w:rsidRPr="00483560">
              <w:rPr>
                <w:rFonts w:ascii="Arial" w:eastAsia="Times New Roman" w:hAnsi="Arial" w:cs="Arial"/>
                <w:color w:val="000000"/>
                <w:sz w:val="20"/>
                <w:szCs w:val="20"/>
                <w:lang w:eastAsia="es-MX"/>
              </w:rPr>
              <w:t>.</w:t>
            </w:r>
            <w:r w:rsidRPr="0048356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Universidad Autónoma de Yucatán</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1,905,583,881.00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483560">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w:t>
            </w:r>
            <w:r w:rsidR="00483560" w:rsidRPr="00483560">
              <w:rPr>
                <w:rFonts w:ascii="Arial" w:eastAsia="Times New Roman" w:hAnsi="Arial" w:cs="Arial"/>
                <w:color w:val="000000"/>
                <w:sz w:val="20"/>
                <w:szCs w:val="20"/>
                <w:lang w:eastAsia="es-MX"/>
              </w:rPr>
              <w:t>3.</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Pensiones y j</w:t>
            </w:r>
            <w:r w:rsidR="008F70CC" w:rsidRPr="00483560">
              <w:rPr>
                <w:rFonts w:ascii="Arial" w:eastAsia="Times New Roman" w:hAnsi="Arial" w:cs="Arial"/>
                <w:color w:val="000000"/>
                <w:sz w:val="20"/>
                <w:szCs w:val="20"/>
                <w:lang w:eastAsia="es-MX"/>
              </w:rPr>
              <w:t>ubilaciones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483560">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9.</w:t>
            </w:r>
            <w:r w:rsidR="00483560" w:rsidRPr="00483560">
              <w:rPr>
                <w:rFonts w:ascii="Arial" w:eastAsia="Times New Roman" w:hAnsi="Arial" w:cs="Arial"/>
                <w:color w:val="000000"/>
                <w:sz w:val="20"/>
                <w:szCs w:val="20"/>
                <w:lang w:eastAsia="es-MX"/>
              </w:rPr>
              <w:t>4.</w:t>
            </w:r>
          </w:p>
        </w:tc>
        <w:tc>
          <w:tcPr>
            <w:tcW w:w="3157" w:type="pct"/>
            <w:gridSpan w:val="6"/>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Transferencias del Fondo Mexicano del Petróleo para la Estabilización y el Desarrollo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0</w:t>
            </w:r>
          </w:p>
        </w:tc>
        <w:tc>
          <w:tcPr>
            <w:tcW w:w="3638" w:type="pct"/>
            <w:gridSpan w:val="8"/>
            <w:shd w:val="clear" w:color="auto" w:fill="auto"/>
            <w:noWrap/>
            <w:vAlign w:val="center"/>
            <w:hideMark/>
          </w:tcPr>
          <w:p w:rsidR="008F70CC" w:rsidRPr="00044038" w:rsidRDefault="00483560" w:rsidP="008F70CC">
            <w:pPr>
              <w:spacing w:line="240" w:lineRule="auto"/>
              <w:rPr>
                <w:rFonts w:ascii="Arial" w:eastAsia="Times New Roman" w:hAnsi="Arial" w:cs="Arial"/>
                <w:b/>
                <w:bCs/>
                <w:color w:val="000000"/>
                <w:lang w:eastAsia="es-MX"/>
              </w:rPr>
            </w:pPr>
            <w:r>
              <w:rPr>
                <w:rFonts w:ascii="Arial" w:eastAsia="Times New Roman" w:hAnsi="Arial" w:cs="Arial"/>
                <w:b/>
                <w:bCs/>
                <w:color w:val="000000"/>
                <w:lang w:eastAsia="es-MX"/>
              </w:rPr>
              <w:t>Ingresos derivados de f</w:t>
            </w:r>
            <w:r w:rsidR="008F70CC" w:rsidRPr="00044038">
              <w:rPr>
                <w:rFonts w:ascii="Arial" w:eastAsia="Times New Roman" w:hAnsi="Arial" w:cs="Arial"/>
                <w:b/>
                <w:bCs/>
                <w:color w:val="000000"/>
                <w:lang w:eastAsia="es-MX"/>
              </w:rPr>
              <w:t>inanciamientos</w:t>
            </w:r>
          </w:p>
        </w:tc>
        <w:tc>
          <w:tcPr>
            <w:tcW w:w="1250" w:type="pct"/>
            <w:shd w:val="clear" w:color="auto" w:fill="auto"/>
            <w:noWrap/>
            <w:vAlign w:val="center"/>
            <w:hideMark/>
          </w:tcPr>
          <w:p w:rsidR="008F70CC" w:rsidRPr="00044038" w:rsidRDefault="008F70CC" w:rsidP="008F70CC">
            <w:pPr>
              <w:spacing w:line="240" w:lineRule="auto"/>
              <w:jc w:val="right"/>
              <w:rPr>
                <w:rFonts w:ascii="Arial" w:eastAsia="Times New Roman" w:hAnsi="Arial" w:cs="Arial"/>
                <w:b/>
                <w:bCs/>
                <w:color w:val="000000"/>
                <w:lang w:eastAsia="es-MX"/>
              </w:rPr>
            </w:pPr>
            <w:r w:rsidRPr="00044038">
              <w:rPr>
                <w:rFonts w:ascii="Arial" w:eastAsia="Times New Roman" w:hAnsi="Arial" w:cs="Arial"/>
                <w:b/>
                <w:bCs/>
                <w:color w:val="000000"/>
                <w:lang w:eastAsia="es-MX"/>
              </w:rPr>
              <w:t xml:space="preserve">                                                   </w:t>
            </w:r>
            <w:r w:rsidRPr="00044038">
              <w:rPr>
                <w:rFonts w:ascii="Arial" w:eastAsia="Times New Roman" w:hAnsi="Arial" w:cs="Arial"/>
                <w:color w:val="000000"/>
                <w:lang w:eastAsia="es-MX"/>
              </w:rPr>
              <w:t xml:space="preserve">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0.1</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E</w:t>
            </w:r>
            <w:r w:rsidR="008F70CC" w:rsidRPr="00483560">
              <w:rPr>
                <w:rFonts w:ascii="Arial" w:eastAsia="Times New Roman" w:hAnsi="Arial" w:cs="Arial"/>
                <w:color w:val="000000"/>
                <w:sz w:val="20"/>
                <w:szCs w:val="20"/>
                <w:lang w:eastAsia="es-MX"/>
              </w:rPr>
              <w:t>ndeudamiento interno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p>
        </w:tc>
        <w:tc>
          <w:tcPr>
            <w:tcW w:w="473" w:type="pct"/>
            <w:gridSpan w:val="2"/>
            <w:shd w:val="clear" w:color="auto" w:fill="auto"/>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w:t>
            </w:r>
            <w:r w:rsidR="008F70CC" w:rsidRPr="00483560">
              <w:rPr>
                <w:rFonts w:ascii="Arial" w:eastAsia="Times New Roman" w:hAnsi="Arial" w:cs="Arial"/>
                <w:color w:val="000000"/>
                <w:sz w:val="20"/>
                <w:szCs w:val="20"/>
                <w:lang w:eastAsia="es-MX"/>
              </w:rPr>
              <w:t>0.1.1</w:t>
            </w:r>
            <w:r w:rsidRPr="00483560">
              <w:rPr>
                <w:rFonts w:ascii="Arial" w:eastAsia="Times New Roman" w:hAnsi="Arial" w:cs="Arial"/>
                <w:color w:val="000000"/>
                <w:sz w:val="20"/>
                <w:szCs w:val="20"/>
                <w:lang w:eastAsia="es-MX"/>
              </w:rPr>
              <w:t>.</w:t>
            </w:r>
            <w:r w:rsidR="008F70CC" w:rsidRPr="00483560">
              <w:rPr>
                <w:rFonts w:ascii="Arial" w:eastAsia="Times New Roman" w:hAnsi="Arial" w:cs="Arial"/>
                <w:color w:val="000000"/>
                <w:sz w:val="20"/>
                <w:szCs w:val="20"/>
                <w:lang w:eastAsia="es-MX"/>
              </w:rPr>
              <w:t xml:space="preserve"> </w:t>
            </w:r>
          </w:p>
        </w:tc>
        <w:tc>
          <w:tcPr>
            <w:tcW w:w="2684" w:type="pct"/>
            <w:gridSpan w:val="4"/>
            <w:shd w:val="clear" w:color="auto" w:fill="auto"/>
            <w:noWrap/>
            <w:vAlign w:val="center"/>
            <w:hideMark/>
          </w:tcPr>
          <w:p w:rsidR="008F70CC" w:rsidRPr="00483560" w:rsidRDefault="008F70CC"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Empréstitos con fuente de pago de particulares</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0.2</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Endeudamiento e</w:t>
            </w:r>
            <w:r w:rsidR="008F70CC" w:rsidRPr="00483560">
              <w:rPr>
                <w:rFonts w:ascii="Arial" w:eastAsia="Times New Roman" w:hAnsi="Arial" w:cs="Arial"/>
                <w:color w:val="000000"/>
                <w:sz w:val="20"/>
                <w:szCs w:val="20"/>
                <w:lang w:eastAsia="es-MX"/>
              </w:rPr>
              <w:t>xterno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r w:rsidR="008F70CC" w:rsidRPr="00044038" w:rsidTr="008F70CC">
        <w:trPr>
          <w:trHeight w:val="300"/>
        </w:trPr>
        <w:tc>
          <w:tcPr>
            <w:tcW w:w="111" w:type="pct"/>
            <w:shd w:val="clear" w:color="auto" w:fill="auto"/>
            <w:noWrap/>
            <w:vAlign w:val="center"/>
            <w:hideMark/>
          </w:tcPr>
          <w:p w:rsidR="008F70CC" w:rsidRPr="00044038" w:rsidRDefault="008F70CC" w:rsidP="008F70CC">
            <w:pPr>
              <w:spacing w:line="240" w:lineRule="auto"/>
              <w:rPr>
                <w:rFonts w:ascii="Arial" w:eastAsia="Times New Roman" w:hAnsi="Arial" w:cs="Arial"/>
                <w:color w:val="000000"/>
                <w:lang w:eastAsia="es-MX"/>
              </w:rPr>
            </w:pPr>
          </w:p>
        </w:tc>
        <w:tc>
          <w:tcPr>
            <w:tcW w:w="481" w:type="pct"/>
            <w:gridSpan w:val="2"/>
            <w:shd w:val="clear" w:color="auto" w:fill="auto"/>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0.3</w:t>
            </w:r>
            <w:r w:rsidR="00483560" w:rsidRPr="00483560">
              <w:rPr>
                <w:rFonts w:ascii="Arial" w:eastAsia="Times New Roman" w:hAnsi="Arial" w:cs="Arial"/>
                <w:color w:val="000000"/>
                <w:sz w:val="20"/>
                <w:szCs w:val="20"/>
                <w:lang w:eastAsia="es-MX"/>
              </w:rPr>
              <w:t>.</w:t>
            </w:r>
          </w:p>
        </w:tc>
        <w:tc>
          <w:tcPr>
            <w:tcW w:w="3157" w:type="pct"/>
            <w:gridSpan w:val="6"/>
            <w:shd w:val="clear" w:color="auto" w:fill="auto"/>
            <w:noWrap/>
            <w:vAlign w:val="center"/>
            <w:hideMark/>
          </w:tcPr>
          <w:p w:rsidR="008F70CC" w:rsidRPr="00483560" w:rsidRDefault="00483560" w:rsidP="008F70CC">
            <w:pPr>
              <w:spacing w:line="240" w:lineRule="auto"/>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Financiamiento i</w:t>
            </w:r>
            <w:r w:rsidR="008F70CC" w:rsidRPr="00483560">
              <w:rPr>
                <w:rFonts w:ascii="Arial" w:eastAsia="Times New Roman" w:hAnsi="Arial" w:cs="Arial"/>
                <w:color w:val="000000"/>
                <w:sz w:val="20"/>
                <w:szCs w:val="20"/>
                <w:lang w:eastAsia="es-MX"/>
              </w:rPr>
              <w:t>nterno</w:t>
            </w:r>
          </w:p>
        </w:tc>
        <w:tc>
          <w:tcPr>
            <w:tcW w:w="1250" w:type="pct"/>
            <w:shd w:val="clear" w:color="auto" w:fill="auto"/>
            <w:noWrap/>
            <w:vAlign w:val="center"/>
            <w:hideMark/>
          </w:tcPr>
          <w:p w:rsidR="008F70CC" w:rsidRPr="00483560" w:rsidRDefault="008F70CC" w:rsidP="008F70CC">
            <w:pPr>
              <w:spacing w:line="240" w:lineRule="auto"/>
              <w:jc w:val="right"/>
              <w:rPr>
                <w:rFonts w:ascii="Arial" w:eastAsia="Times New Roman" w:hAnsi="Arial" w:cs="Arial"/>
                <w:color w:val="000000"/>
                <w:sz w:val="20"/>
                <w:szCs w:val="20"/>
                <w:lang w:eastAsia="es-MX"/>
              </w:rPr>
            </w:pPr>
            <w:r w:rsidRPr="00483560">
              <w:rPr>
                <w:rFonts w:ascii="Arial" w:eastAsia="Times New Roman" w:hAnsi="Arial" w:cs="Arial"/>
                <w:color w:val="000000"/>
                <w:sz w:val="20"/>
                <w:szCs w:val="20"/>
                <w:lang w:eastAsia="es-MX"/>
              </w:rPr>
              <w:t xml:space="preserve">                                                   0.0   </w:t>
            </w:r>
          </w:p>
        </w:tc>
      </w:tr>
    </w:tbl>
    <w:p w:rsidR="008F70CC" w:rsidRDefault="008F70CC" w:rsidP="00737AFF">
      <w:pPr>
        <w:spacing w:line="240" w:lineRule="auto"/>
        <w:jc w:val="both"/>
        <w:rPr>
          <w:rFonts w:ascii="Arial" w:hAnsi="Arial" w:cs="Arial"/>
          <w:sz w:val="24"/>
          <w:szCs w:val="24"/>
        </w:rPr>
      </w:pPr>
    </w:p>
    <w:p w:rsidR="00540BA8" w:rsidRPr="00857622" w:rsidRDefault="00540BA8" w:rsidP="00857622">
      <w:pPr>
        <w:spacing w:before="100" w:beforeAutospacing="1" w:after="100" w:afterAutospacing="1" w:line="240" w:lineRule="auto"/>
        <w:jc w:val="both"/>
        <w:rPr>
          <w:rFonts w:ascii="Arial" w:hAnsi="Arial" w:cs="Arial"/>
          <w:sz w:val="24"/>
          <w:szCs w:val="24"/>
        </w:rPr>
      </w:pPr>
      <w:r w:rsidRPr="00857622">
        <w:rPr>
          <w:rFonts w:ascii="Arial" w:hAnsi="Arial" w:cs="Arial"/>
          <w:sz w:val="24"/>
          <w:szCs w:val="24"/>
        </w:rPr>
        <w:t>Cuando una ley que establezca alguno de los ingresos previstos en este artículo, contenga disposiciones que señalen otros ingresos, estos últimos se considerarán comprendidos en el rubro, tipo o clase que corresponda a los ingresos del primero.</w:t>
      </w:r>
    </w:p>
    <w:p w:rsidR="00540BA8" w:rsidRDefault="00540BA8" w:rsidP="00857622">
      <w:pPr>
        <w:spacing w:before="100" w:beforeAutospacing="1" w:after="100" w:afterAutospacing="1" w:line="240" w:lineRule="auto"/>
        <w:jc w:val="both"/>
        <w:rPr>
          <w:rFonts w:ascii="Arial" w:hAnsi="Arial" w:cs="Arial"/>
          <w:sz w:val="24"/>
          <w:szCs w:val="24"/>
        </w:rPr>
      </w:pPr>
      <w:r w:rsidRPr="00857622">
        <w:rPr>
          <w:rFonts w:ascii="Arial" w:hAnsi="Arial" w:cs="Arial"/>
          <w:sz w:val="24"/>
          <w:szCs w:val="24"/>
        </w:rPr>
        <w:t xml:space="preserve">A fin de cumplir con lo establecido en el artículo 5 de la Ley de Disciplina Financiera de las Entidades Federativas y los Municipios y los Criterios para la </w:t>
      </w:r>
      <w:r w:rsidRPr="00857622">
        <w:rPr>
          <w:rFonts w:ascii="Arial" w:hAnsi="Arial" w:cs="Arial"/>
          <w:sz w:val="24"/>
          <w:szCs w:val="24"/>
        </w:rPr>
        <w:lastRenderedPageBreak/>
        <w:t>elaboración y presentación homogénea de la información financiera</w:t>
      </w:r>
      <w:r w:rsidR="00E26647">
        <w:rPr>
          <w:rFonts w:ascii="Arial" w:hAnsi="Arial" w:cs="Arial"/>
          <w:sz w:val="24"/>
          <w:szCs w:val="24"/>
        </w:rPr>
        <w:t>,</w:t>
      </w:r>
      <w:r w:rsidRPr="00857622">
        <w:rPr>
          <w:rFonts w:ascii="Arial" w:hAnsi="Arial" w:cs="Arial"/>
          <w:sz w:val="24"/>
          <w:szCs w:val="24"/>
        </w:rPr>
        <w:t xml:space="preserve"> y de los formatos a que hace referencia la Ley de Disciplina Financiera de las Entidades Federativas y los Municipios, publicados el 11 de octubre de 2016 en el Diario Oficial de la Feder</w:t>
      </w:r>
      <w:r w:rsidR="00E26647">
        <w:rPr>
          <w:rFonts w:ascii="Arial" w:hAnsi="Arial" w:cs="Arial"/>
          <w:sz w:val="24"/>
          <w:szCs w:val="24"/>
        </w:rPr>
        <w:t>ación, se anexan a la presente l</w:t>
      </w:r>
      <w:r w:rsidRPr="00857622">
        <w:rPr>
          <w:rFonts w:ascii="Arial" w:hAnsi="Arial" w:cs="Arial"/>
          <w:sz w:val="24"/>
          <w:szCs w:val="24"/>
        </w:rPr>
        <w:t>ey, las proyecci</w:t>
      </w:r>
      <w:r w:rsidR="00E26647">
        <w:rPr>
          <w:rFonts w:ascii="Arial" w:hAnsi="Arial" w:cs="Arial"/>
          <w:sz w:val="24"/>
          <w:szCs w:val="24"/>
        </w:rPr>
        <w:t>ones de ingresos a cinco años (a</w:t>
      </w:r>
      <w:r w:rsidRPr="00857622">
        <w:rPr>
          <w:rFonts w:ascii="Arial" w:hAnsi="Arial" w:cs="Arial"/>
          <w:sz w:val="24"/>
          <w:szCs w:val="24"/>
        </w:rPr>
        <w:t>nexo I), y los resultados de ingr</w:t>
      </w:r>
      <w:r w:rsidR="00E26647">
        <w:rPr>
          <w:rFonts w:ascii="Arial" w:hAnsi="Arial" w:cs="Arial"/>
          <w:sz w:val="24"/>
          <w:szCs w:val="24"/>
        </w:rPr>
        <w:t>esos de cinco años anteriores (a</w:t>
      </w:r>
      <w:r w:rsidRPr="00857622">
        <w:rPr>
          <w:rFonts w:ascii="Arial" w:hAnsi="Arial" w:cs="Arial"/>
          <w:sz w:val="24"/>
          <w:szCs w:val="24"/>
        </w:rPr>
        <w:t>nexo II).</w:t>
      </w:r>
    </w:p>
    <w:p w:rsidR="006C5B00" w:rsidRPr="009A3CEF" w:rsidRDefault="006C5B00" w:rsidP="006C5B00">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 xml:space="preserve">Artículo </w:t>
      </w:r>
      <w:r>
        <w:rPr>
          <w:rFonts w:ascii="Arial" w:hAnsi="Arial" w:cs="Arial"/>
          <w:b/>
          <w:sz w:val="24"/>
          <w:szCs w:val="24"/>
        </w:rPr>
        <w:t>3</w:t>
      </w:r>
      <w:r w:rsidRPr="009A3CEF">
        <w:rPr>
          <w:rFonts w:ascii="Arial" w:hAnsi="Arial" w:cs="Arial"/>
          <w:b/>
          <w:sz w:val="24"/>
          <w:szCs w:val="24"/>
        </w:rPr>
        <w:t>. Participaciones municipales</w:t>
      </w:r>
    </w:p>
    <w:p w:rsidR="006C5B00" w:rsidRPr="009A3CEF" w:rsidRDefault="006C5B00" w:rsidP="006C5B00">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Poder Ejecutivo del estado, por conducto de la Secretaría de Administración y Finanzas, recibirá las participaciones que correspondan a los municipios, en aquellos casos en que las disposiciones relativas a la Ley de Coordinación Fiscal,</w:t>
      </w:r>
      <w:r w:rsidR="0047799A">
        <w:rPr>
          <w:rFonts w:ascii="Arial" w:eastAsiaTheme="minorEastAsia" w:hAnsi="Arial" w:cs="Arial"/>
          <w:sz w:val="24"/>
          <w:szCs w:val="24"/>
          <w:lang w:eastAsia="es-MX"/>
        </w:rPr>
        <w:t xml:space="preserve"> la</w:t>
      </w:r>
      <w:r w:rsidRPr="009A3CEF">
        <w:rPr>
          <w:rFonts w:ascii="Arial" w:eastAsiaTheme="minorEastAsia" w:hAnsi="Arial" w:cs="Arial"/>
          <w:sz w:val="24"/>
          <w:szCs w:val="24"/>
          <w:lang w:eastAsia="es-MX"/>
        </w:rPr>
        <w:t xml:space="preserve"> Ley General de Contabilidad Gubernamental y demás disposiciones normativas así lo determinen.</w:t>
      </w:r>
    </w:p>
    <w:p w:rsidR="006C5B00" w:rsidRDefault="006C5B00" w:rsidP="006C5B00">
      <w:pPr>
        <w:spacing w:before="100" w:beforeAutospacing="1" w:after="100" w:afterAutospacing="1" w:line="240" w:lineRule="auto"/>
        <w:jc w:val="both"/>
        <w:rPr>
          <w:rFonts w:ascii="Arial" w:hAnsi="Arial" w:cs="Arial"/>
          <w:b/>
          <w:sz w:val="24"/>
          <w:szCs w:val="24"/>
        </w:rPr>
      </w:pPr>
      <w:r w:rsidRPr="009A3CEF">
        <w:rPr>
          <w:rFonts w:ascii="Arial" w:hAnsi="Arial" w:cs="Arial"/>
          <w:b/>
          <w:sz w:val="24"/>
          <w:szCs w:val="24"/>
        </w:rPr>
        <w:t xml:space="preserve">Artículo </w:t>
      </w:r>
      <w:r>
        <w:rPr>
          <w:rFonts w:ascii="Arial" w:hAnsi="Arial" w:cs="Arial"/>
          <w:b/>
          <w:sz w:val="24"/>
          <w:szCs w:val="24"/>
        </w:rPr>
        <w:t>4</w:t>
      </w:r>
      <w:r w:rsidRPr="009A3CEF">
        <w:rPr>
          <w:rFonts w:ascii="Arial" w:hAnsi="Arial" w:cs="Arial"/>
          <w:b/>
          <w:sz w:val="24"/>
          <w:szCs w:val="24"/>
        </w:rPr>
        <w:t>. Disposiciones en materia de recaudación</w:t>
      </w:r>
    </w:p>
    <w:p w:rsidR="009236BA" w:rsidRP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La recaudación de los ingresos a que se refiere esta ley se acreditará</w:t>
      </w:r>
      <w:r w:rsidRPr="009236BA">
        <w:rPr>
          <w:rFonts w:ascii="Arial" w:eastAsiaTheme="minorEastAsia" w:hAnsi="Arial" w:cs="Arial"/>
          <w:sz w:val="24"/>
          <w:szCs w:val="24"/>
          <w:lang w:eastAsia="es-MX"/>
        </w:rPr>
        <w:t xml:space="preserve"> mediante comprobante de pago impreso o digital que pa</w:t>
      </w:r>
      <w:r>
        <w:rPr>
          <w:rFonts w:ascii="Arial" w:eastAsiaTheme="minorEastAsia" w:hAnsi="Arial" w:cs="Arial"/>
          <w:sz w:val="24"/>
          <w:szCs w:val="24"/>
          <w:lang w:eastAsia="es-MX"/>
        </w:rPr>
        <w:t>ra tal efecto emita la Secretarí</w:t>
      </w:r>
      <w:r w:rsidRPr="009236BA">
        <w:rPr>
          <w:rFonts w:ascii="Arial" w:eastAsiaTheme="minorEastAsia" w:hAnsi="Arial" w:cs="Arial"/>
          <w:sz w:val="24"/>
          <w:szCs w:val="24"/>
          <w:lang w:eastAsia="es-MX"/>
        </w:rPr>
        <w:t>a de Administración y Finanzas, la Agencia de Administración Fiscal de Yucatán, o las instituciones, entidades</w:t>
      </w:r>
      <w:r>
        <w:rPr>
          <w:rFonts w:ascii="Arial" w:eastAsiaTheme="minorEastAsia" w:hAnsi="Arial" w:cs="Arial"/>
          <w:sz w:val="24"/>
          <w:szCs w:val="24"/>
          <w:lang w:eastAsia="es-MX"/>
        </w:rPr>
        <w:t xml:space="preserve"> y establecimientos autorizados para tal efecto.</w:t>
      </w:r>
    </w:p>
    <w:p w:rsidR="006B57F4"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 xml:space="preserve">Para que tenga validez el comprobante de pago señalado en el párrafo anterior, deberá contener </w:t>
      </w:r>
      <w:r w:rsidR="00421ACD" w:rsidRPr="009A3CEF">
        <w:rPr>
          <w:rFonts w:ascii="Arial" w:eastAsiaTheme="minorEastAsia" w:hAnsi="Arial" w:cs="Arial"/>
          <w:sz w:val="24"/>
          <w:szCs w:val="24"/>
          <w:lang w:eastAsia="es-MX"/>
        </w:rPr>
        <w:t>sello</w:t>
      </w:r>
      <w:r w:rsidR="006B57F4">
        <w:rPr>
          <w:rFonts w:ascii="Arial" w:eastAsiaTheme="minorEastAsia" w:hAnsi="Arial" w:cs="Arial"/>
          <w:sz w:val="24"/>
          <w:szCs w:val="24"/>
          <w:lang w:eastAsia="es-MX"/>
        </w:rPr>
        <w:t xml:space="preserve"> y firma</w:t>
      </w:r>
      <w:r w:rsidR="00421ACD" w:rsidRPr="009A3CEF">
        <w:rPr>
          <w:rFonts w:ascii="Arial" w:eastAsiaTheme="minorEastAsia" w:hAnsi="Arial" w:cs="Arial"/>
          <w:sz w:val="24"/>
          <w:szCs w:val="24"/>
          <w:lang w:eastAsia="es-MX"/>
        </w:rPr>
        <w:t xml:space="preserve"> del cajero otorgados por alguna oficina recaudadora autorizada</w:t>
      </w:r>
      <w:r w:rsidRPr="009236BA">
        <w:rPr>
          <w:rFonts w:ascii="Arial" w:eastAsiaTheme="minorEastAsia" w:hAnsi="Arial" w:cs="Arial"/>
          <w:sz w:val="24"/>
          <w:szCs w:val="24"/>
          <w:lang w:eastAsia="es-MX"/>
        </w:rPr>
        <w:t>.</w:t>
      </w:r>
    </w:p>
    <w:p w:rsid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Cuando el contribuyente realice el pago o entero de</w:t>
      </w:r>
      <w:r w:rsidR="006B57F4">
        <w:rPr>
          <w:rFonts w:ascii="Arial" w:eastAsiaTheme="minorEastAsia" w:hAnsi="Arial" w:cs="Arial"/>
          <w:sz w:val="24"/>
          <w:szCs w:val="24"/>
          <w:lang w:eastAsia="es-MX"/>
        </w:rPr>
        <w:t xml:space="preserve"> </w:t>
      </w:r>
      <w:r w:rsidR="006B57F4" w:rsidRPr="009A3CEF">
        <w:rPr>
          <w:rFonts w:ascii="Arial" w:eastAsiaTheme="minorEastAsia" w:hAnsi="Arial" w:cs="Arial"/>
          <w:sz w:val="24"/>
          <w:szCs w:val="24"/>
          <w:lang w:eastAsia="es-MX"/>
        </w:rPr>
        <w:t>las contribuciones u otros ingresos a que se refiere esta ley</w:t>
      </w:r>
      <w:r w:rsidR="007860FD">
        <w:rPr>
          <w:rFonts w:ascii="Arial" w:eastAsiaTheme="minorEastAsia" w:hAnsi="Arial" w:cs="Arial"/>
          <w:sz w:val="24"/>
          <w:szCs w:val="24"/>
          <w:lang w:eastAsia="es-MX"/>
        </w:rPr>
        <w:t xml:space="preserve">, </w:t>
      </w:r>
      <w:r w:rsidRPr="009236BA">
        <w:rPr>
          <w:rFonts w:ascii="Arial" w:eastAsiaTheme="minorEastAsia" w:hAnsi="Arial" w:cs="Arial"/>
          <w:sz w:val="24"/>
          <w:szCs w:val="24"/>
          <w:lang w:eastAsia="es-MX"/>
        </w:rPr>
        <w:t xml:space="preserve">mediante declaración o línea de referencia, en las oficinas recaudadoras de la Agencia de Administración Fiscal de Yucatán, recibirá adicionalmente acuse de pago con firma y sello del cajero. </w:t>
      </w:r>
    </w:p>
    <w:p w:rsidR="009236BA" w:rsidRP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Si el pago de los ingre</w:t>
      </w:r>
      <w:r w:rsidR="0023049B">
        <w:rPr>
          <w:rFonts w:ascii="Arial" w:eastAsiaTheme="minorEastAsia" w:hAnsi="Arial" w:cs="Arial"/>
          <w:sz w:val="24"/>
          <w:szCs w:val="24"/>
          <w:lang w:eastAsia="es-MX"/>
        </w:rPr>
        <w:t>sos señalados en esta l</w:t>
      </w:r>
      <w:r w:rsidRPr="009236BA">
        <w:rPr>
          <w:rFonts w:ascii="Arial" w:eastAsiaTheme="minorEastAsia" w:hAnsi="Arial" w:cs="Arial"/>
          <w:sz w:val="24"/>
          <w:szCs w:val="24"/>
          <w:lang w:eastAsia="es-MX"/>
        </w:rPr>
        <w:t>ey se realiza en instituciones de crédito, entidades o establecimientos autorizados, se podrá acreditar el pago mediante el documento que contenga los elementos de validez que para tal efecto autorice la Agencia de Administración Fiscal de Yucatán.</w:t>
      </w:r>
    </w:p>
    <w:p w:rsidR="009236BA" w:rsidRP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t>Para los efectos del presente artículo</w:t>
      </w:r>
      <w:r w:rsidR="0023049B">
        <w:rPr>
          <w:rFonts w:ascii="Arial" w:eastAsiaTheme="minorEastAsia" w:hAnsi="Arial" w:cs="Arial"/>
          <w:sz w:val="24"/>
          <w:szCs w:val="24"/>
          <w:lang w:eastAsia="es-MX"/>
        </w:rPr>
        <w:t>,</w:t>
      </w:r>
      <w:r w:rsidRPr="009236BA">
        <w:rPr>
          <w:rFonts w:ascii="Arial" w:eastAsiaTheme="minorEastAsia" w:hAnsi="Arial" w:cs="Arial"/>
          <w:sz w:val="24"/>
          <w:szCs w:val="24"/>
          <w:lang w:eastAsia="es-MX"/>
        </w:rPr>
        <w:t xml:space="preserve"> se entenderá por línea de referencia, el conjunto de caracteres que permiten identificar de manera única una transacción y validar la información presentada en las instituciones de crédito, entidades, establecimientos y oficinas recaudadoras de la Agencia de Administración Fiscal de Yucatán, obteniendo como resultado un código con dígitos verificadores.</w:t>
      </w:r>
    </w:p>
    <w:p w:rsidR="009236BA" w:rsidRDefault="009236BA" w:rsidP="009236BA">
      <w:pPr>
        <w:spacing w:before="100" w:beforeAutospacing="1" w:after="100" w:afterAutospacing="1" w:line="240" w:lineRule="auto"/>
        <w:jc w:val="both"/>
        <w:rPr>
          <w:rFonts w:ascii="Arial" w:eastAsiaTheme="minorEastAsia" w:hAnsi="Arial" w:cs="Arial"/>
          <w:sz w:val="24"/>
          <w:szCs w:val="24"/>
          <w:lang w:eastAsia="es-MX"/>
        </w:rPr>
      </w:pPr>
      <w:r w:rsidRPr="009236BA">
        <w:rPr>
          <w:rFonts w:ascii="Arial" w:eastAsiaTheme="minorEastAsia" w:hAnsi="Arial" w:cs="Arial"/>
          <w:sz w:val="24"/>
          <w:szCs w:val="24"/>
          <w:lang w:eastAsia="es-MX"/>
        </w:rPr>
        <w:lastRenderedPageBreak/>
        <w:t>La Agencia de Administración Fiscal de Yucatán podrá expedir las disposiciones que sean necesarias para la correcta y debida aplicación de este artículo.</w:t>
      </w:r>
    </w:p>
    <w:p w:rsidR="00F90AAF" w:rsidRPr="009A3CEF" w:rsidRDefault="00F90AAF" w:rsidP="00F90AAF">
      <w:pPr>
        <w:spacing w:before="100" w:beforeAutospacing="1" w:after="100" w:afterAutospacing="1" w:line="240" w:lineRule="auto"/>
        <w:rPr>
          <w:rFonts w:ascii="Arial" w:hAnsi="Arial" w:cs="Arial"/>
          <w:sz w:val="24"/>
          <w:szCs w:val="24"/>
        </w:rPr>
      </w:pPr>
      <w:r w:rsidRPr="009A3CEF">
        <w:rPr>
          <w:rFonts w:ascii="Arial" w:hAnsi="Arial" w:cs="Arial"/>
          <w:b/>
          <w:sz w:val="24"/>
          <w:szCs w:val="24"/>
        </w:rPr>
        <w:t xml:space="preserve">Artículo </w:t>
      </w:r>
      <w:r>
        <w:rPr>
          <w:rFonts w:ascii="Arial" w:hAnsi="Arial" w:cs="Arial"/>
          <w:b/>
          <w:sz w:val="24"/>
          <w:szCs w:val="24"/>
        </w:rPr>
        <w:t xml:space="preserve">5. </w:t>
      </w:r>
      <w:r w:rsidR="00340FAE">
        <w:rPr>
          <w:rFonts w:ascii="Arial" w:hAnsi="Arial" w:cs="Arial"/>
          <w:b/>
          <w:sz w:val="24"/>
          <w:szCs w:val="24"/>
        </w:rPr>
        <w:t>Recaudac</w:t>
      </w:r>
      <w:r w:rsidRPr="009A3CEF">
        <w:rPr>
          <w:rFonts w:ascii="Arial" w:hAnsi="Arial" w:cs="Arial"/>
          <w:b/>
          <w:sz w:val="24"/>
          <w:szCs w:val="24"/>
        </w:rPr>
        <w:t>ión de los ingresos</w:t>
      </w:r>
    </w:p>
    <w:p w:rsidR="00340FAE" w:rsidRPr="00340FAE" w:rsidRDefault="00340FAE" w:rsidP="00340FAE">
      <w:pPr>
        <w:spacing w:before="100" w:beforeAutospacing="1" w:after="100" w:afterAutospacing="1" w:line="240" w:lineRule="auto"/>
        <w:jc w:val="both"/>
        <w:rPr>
          <w:rFonts w:ascii="Arial" w:eastAsiaTheme="minorEastAsia" w:hAnsi="Arial" w:cs="Arial"/>
          <w:sz w:val="24"/>
          <w:szCs w:val="24"/>
          <w:lang w:eastAsia="es-MX"/>
        </w:rPr>
      </w:pPr>
      <w:r w:rsidRPr="00340FAE">
        <w:rPr>
          <w:rFonts w:ascii="Arial" w:eastAsiaTheme="minorEastAsia" w:hAnsi="Arial" w:cs="Arial"/>
          <w:sz w:val="24"/>
          <w:szCs w:val="24"/>
          <w:lang w:eastAsia="es-MX"/>
        </w:rPr>
        <w:t>Los</w:t>
      </w:r>
      <w:r>
        <w:rPr>
          <w:rFonts w:ascii="Arial" w:eastAsiaTheme="minorEastAsia" w:hAnsi="Arial" w:cs="Arial"/>
          <w:sz w:val="24"/>
          <w:szCs w:val="24"/>
          <w:lang w:eastAsia="es-MX"/>
        </w:rPr>
        <w:t xml:space="preserve"> ingresos autorizados por esta l</w:t>
      </w:r>
      <w:r w:rsidRPr="00340FAE">
        <w:rPr>
          <w:rFonts w:ascii="Arial" w:eastAsiaTheme="minorEastAsia" w:hAnsi="Arial" w:cs="Arial"/>
          <w:sz w:val="24"/>
          <w:szCs w:val="24"/>
          <w:lang w:eastAsia="es-MX"/>
        </w:rPr>
        <w:t>ey se percibirán, causarán, liquidarán y recaudarán de acuerdo con la Ley General de Hacienda del Estado de Yucatán, el Código Fiscal del Estado</w:t>
      </w:r>
      <w:r>
        <w:rPr>
          <w:rFonts w:ascii="Arial" w:eastAsiaTheme="minorEastAsia" w:hAnsi="Arial" w:cs="Arial"/>
          <w:sz w:val="24"/>
          <w:szCs w:val="24"/>
          <w:lang w:eastAsia="es-MX"/>
        </w:rPr>
        <w:t xml:space="preserve"> de Yucatán</w:t>
      </w:r>
      <w:r w:rsidRPr="00340FAE">
        <w:rPr>
          <w:rFonts w:ascii="Arial" w:eastAsiaTheme="minorEastAsia" w:hAnsi="Arial" w:cs="Arial"/>
          <w:sz w:val="24"/>
          <w:szCs w:val="24"/>
          <w:lang w:eastAsia="es-MX"/>
        </w:rPr>
        <w:t xml:space="preserve"> y demás disposiciones fiscales estatales o federales aplicables.</w:t>
      </w:r>
    </w:p>
    <w:p w:rsidR="00340FAE" w:rsidRPr="00340FAE" w:rsidRDefault="00340FAE" w:rsidP="00340FAE">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w:t>
      </w:r>
      <w:r w:rsidRPr="00340FAE">
        <w:rPr>
          <w:rFonts w:ascii="Arial" w:eastAsiaTheme="minorEastAsia" w:hAnsi="Arial" w:cs="Arial"/>
          <w:sz w:val="24"/>
          <w:szCs w:val="24"/>
          <w:lang w:eastAsia="es-MX"/>
        </w:rPr>
        <w:t>a Secretaría de Administración y Finanzas y la Agencia de Administración Fiscal de Yucatán son los entes competentes para recaudar los ingresos que corresponden al Estado.</w:t>
      </w:r>
    </w:p>
    <w:p w:rsidR="00570F6B" w:rsidRPr="009A3CEF" w:rsidRDefault="00570F6B" w:rsidP="00570F6B">
      <w:pPr>
        <w:spacing w:before="100" w:beforeAutospacing="1" w:after="100" w:afterAutospacing="1" w:line="240" w:lineRule="auto"/>
        <w:rPr>
          <w:rFonts w:ascii="Arial" w:hAnsi="Arial" w:cs="Arial"/>
          <w:sz w:val="24"/>
          <w:szCs w:val="24"/>
        </w:rPr>
      </w:pPr>
      <w:r w:rsidRPr="009A3CEF">
        <w:rPr>
          <w:rFonts w:ascii="Arial" w:hAnsi="Arial" w:cs="Arial"/>
          <w:b/>
          <w:sz w:val="24"/>
          <w:szCs w:val="24"/>
        </w:rPr>
        <w:t>Artículo</w:t>
      </w:r>
      <w:r w:rsidR="00D2064F">
        <w:rPr>
          <w:rFonts w:ascii="Arial" w:hAnsi="Arial" w:cs="Arial"/>
          <w:b/>
          <w:sz w:val="24"/>
          <w:szCs w:val="24"/>
        </w:rPr>
        <w:t xml:space="preserve"> 6. </w:t>
      </w:r>
      <w:r w:rsidR="00C042E3">
        <w:rPr>
          <w:rFonts w:ascii="Arial" w:hAnsi="Arial" w:cs="Arial"/>
          <w:b/>
          <w:sz w:val="24"/>
          <w:szCs w:val="24"/>
        </w:rPr>
        <w:t>C</w:t>
      </w:r>
      <w:r w:rsidRPr="009A3CEF">
        <w:rPr>
          <w:rFonts w:ascii="Arial" w:hAnsi="Arial" w:cs="Arial"/>
          <w:b/>
          <w:sz w:val="24"/>
          <w:szCs w:val="24"/>
        </w:rPr>
        <w:t>oncentración de ingresos</w:t>
      </w:r>
    </w:p>
    <w:p w:rsidR="00570F6B" w:rsidRPr="00570F6B" w:rsidRDefault="00C042E3" w:rsidP="00C042E3">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Los ingresos de las dependencias de la Administración Pública e</w:t>
      </w:r>
      <w:r w:rsidR="00570F6B" w:rsidRPr="00570F6B">
        <w:rPr>
          <w:rFonts w:ascii="Arial" w:eastAsiaTheme="minorEastAsia" w:hAnsi="Arial" w:cs="Arial"/>
          <w:sz w:val="24"/>
          <w:szCs w:val="24"/>
          <w:lang w:eastAsia="es-MX"/>
        </w:rPr>
        <w:t xml:space="preserve">statal o sus órganos </w:t>
      </w:r>
      <w:r>
        <w:rPr>
          <w:rFonts w:ascii="Arial" w:eastAsiaTheme="minorEastAsia" w:hAnsi="Arial" w:cs="Arial"/>
          <w:sz w:val="24"/>
          <w:szCs w:val="24"/>
          <w:lang w:eastAsia="es-MX"/>
        </w:rPr>
        <w:t>administrativos desconcentrados</w:t>
      </w:r>
      <w:r w:rsidR="00570F6B" w:rsidRPr="00570F6B">
        <w:rPr>
          <w:rFonts w:ascii="Arial" w:eastAsiaTheme="minorEastAsia" w:hAnsi="Arial" w:cs="Arial"/>
          <w:sz w:val="24"/>
          <w:szCs w:val="24"/>
          <w:lang w:eastAsia="es-MX"/>
        </w:rPr>
        <w:t xml:space="preserve"> por los diversos conceptos que establece esta </w:t>
      </w:r>
      <w:r>
        <w:rPr>
          <w:rFonts w:ascii="Arial" w:eastAsiaTheme="minorEastAsia" w:hAnsi="Arial" w:cs="Arial"/>
          <w:sz w:val="24"/>
          <w:szCs w:val="24"/>
          <w:lang w:eastAsia="es-MX"/>
        </w:rPr>
        <w:t>l</w:t>
      </w:r>
      <w:r w:rsidR="00570F6B" w:rsidRPr="00570F6B">
        <w:rPr>
          <w:rFonts w:ascii="Arial" w:eastAsiaTheme="minorEastAsia" w:hAnsi="Arial" w:cs="Arial"/>
          <w:sz w:val="24"/>
          <w:szCs w:val="24"/>
          <w:lang w:eastAsia="es-MX"/>
        </w:rPr>
        <w:t>ey, deben concentrarse en la Tesorería General del Estado a más tardar el tercer día hábil siguiente al de su recepción y deberán reflejarse, cualquiera que sea su naturaleza, tanto</w:t>
      </w:r>
      <w:r>
        <w:rPr>
          <w:rFonts w:ascii="Arial" w:eastAsiaTheme="minorEastAsia" w:hAnsi="Arial" w:cs="Arial"/>
          <w:sz w:val="24"/>
          <w:szCs w:val="24"/>
          <w:lang w:eastAsia="es-MX"/>
        </w:rPr>
        <w:t xml:space="preserve"> en los registros de la propia T</w:t>
      </w:r>
      <w:r w:rsidR="00570F6B" w:rsidRPr="00570F6B">
        <w:rPr>
          <w:rFonts w:ascii="Arial" w:eastAsiaTheme="minorEastAsia" w:hAnsi="Arial" w:cs="Arial"/>
          <w:sz w:val="24"/>
          <w:szCs w:val="24"/>
          <w:lang w:eastAsia="es-MX"/>
        </w:rPr>
        <w:t>esorería</w:t>
      </w:r>
      <w:r>
        <w:rPr>
          <w:rFonts w:ascii="Arial" w:eastAsiaTheme="minorEastAsia" w:hAnsi="Arial" w:cs="Arial"/>
          <w:sz w:val="24"/>
          <w:szCs w:val="24"/>
          <w:lang w:eastAsia="es-MX"/>
        </w:rPr>
        <w:t xml:space="preserve"> General del Estado</w:t>
      </w:r>
      <w:r w:rsidR="00570F6B" w:rsidRPr="00570F6B">
        <w:rPr>
          <w:rFonts w:ascii="Arial" w:eastAsiaTheme="minorEastAsia" w:hAnsi="Arial" w:cs="Arial"/>
          <w:sz w:val="24"/>
          <w:szCs w:val="24"/>
          <w:lang w:eastAsia="es-MX"/>
        </w:rPr>
        <w:t xml:space="preserve"> como en la</w:t>
      </w:r>
      <w:r>
        <w:rPr>
          <w:rFonts w:ascii="Arial" w:eastAsiaTheme="minorEastAsia" w:hAnsi="Arial" w:cs="Arial"/>
          <w:sz w:val="24"/>
          <w:szCs w:val="24"/>
          <w:lang w:eastAsia="es-MX"/>
        </w:rPr>
        <w:t xml:space="preserve"> cuenta pública</w:t>
      </w:r>
      <w:r w:rsidR="00570F6B" w:rsidRPr="00570F6B">
        <w:rPr>
          <w:rFonts w:ascii="Arial" w:eastAsiaTheme="minorEastAsia" w:hAnsi="Arial" w:cs="Arial"/>
          <w:sz w:val="24"/>
          <w:szCs w:val="24"/>
          <w:lang w:eastAsia="es-MX"/>
        </w:rPr>
        <w:t>.</w:t>
      </w:r>
    </w:p>
    <w:p w:rsidR="00570F6B" w:rsidRP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t xml:space="preserve">Los ingresos </w:t>
      </w:r>
      <w:r w:rsidR="00C042E3">
        <w:rPr>
          <w:rFonts w:ascii="Arial" w:eastAsiaTheme="minorEastAsia" w:hAnsi="Arial" w:cs="Arial"/>
          <w:sz w:val="24"/>
          <w:szCs w:val="24"/>
          <w:lang w:eastAsia="es-MX"/>
        </w:rPr>
        <w:t>de</w:t>
      </w:r>
      <w:r w:rsidRPr="00570F6B">
        <w:rPr>
          <w:rFonts w:ascii="Arial" w:eastAsiaTheme="minorEastAsia" w:hAnsi="Arial" w:cs="Arial"/>
          <w:sz w:val="24"/>
          <w:szCs w:val="24"/>
          <w:lang w:eastAsia="es-MX"/>
        </w:rPr>
        <w:t xml:space="preserve"> las entidades de la Administración Públi</w:t>
      </w:r>
      <w:r w:rsidR="00C042E3">
        <w:rPr>
          <w:rFonts w:ascii="Arial" w:eastAsiaTheme="minorEastAsia" w:hAnsi="Arial" w:cs="Arial"/>
          <w:sz w:val="24"/>
          <w:szCs w:val="24"/>
          <w:lang w:eastAsia="es-MX"/>
        </w:rPr>
        <w:t>ca p</w:t>
      </w:r>
      <w:r w:rsidRPr="00570F6B">
        <w:rPr>
          <w:rFonts w:ascii="Arial" w:eastAsiaTheme="minorEastAsia" w:hAnsi="Arial" w:cs="Arial"/>
          <w:sz w:val="24"/>
          <w:szCs w:val="24"/>
          <w:lang w:eastAsia="es-MX"/>
        </w:rPr>
        <w:t>araestatal, con excepción de las contribuciones, no se concentrarán en la Tesorería General del Estado.</w:t>
      </w:r>
    </w:p>
    <w:p w:rsidR="00570F6B" w:rsidRP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t>Las entidades paraestatales informarán dentro de los primeros cinco días hábiles de cada mes a la Secretaría de Administración y Finanzas</w:t>
      </w:r>
      <w:r w:rsidR="00CE428B">
        <w:rPr>
          <w:rFonts w:ascii="Arial" w:eastAsiaTheme="minorEastAsia" w:hAnsi="Arial" w:cs="Arial"/>
          <w:sz w:val="24"/>
          <w:szCs w:val="24"/>
          <w:lang w:eastAsia="es-MX"/>
        </w:rPr>
        <w:t>,</w:t>
      </w:r>
      <w:r w:rsidRPr="00570F6B">
        <w:rPr>
          <w:rFonts w:ascii="Arial" w:eastAsiaTheme="minorEastAsia" w:hAnsi="Arial" w:cs="Arial"/>
          <w:sz w:val="24"/>
          <w:szCs w:val="24"/>
          <w:lang w:eastAsia="es-MX"/>
        </w:rPr>
        <w:t xml:space="preserve"> sobre los ingresos que obtengan por cualquier concepto </w:t>
      </w:r>
      <w:r w:rsidR="00CE428B">
        <w:rPr>
          <w:rFonts w:ascii="Arial" w:eastAsiaTheme="minorEastAsia" w:hAnsi="Arial" w:cs="Arial"/>
          <w:sz w:val="24"/>
          <w:szCs w:val="24"/>
          <w:lang w:eastAsia="es-MX"/>
        </w:rPr>
        <w:t>de acuerdo a</w:t>
      </w:r>
      <w:r w:rsidRPr="00570F6B">
        <w:rPr>
          <w:rFonts w:ascii="Arial" w:eastAsiaTheme="minorEastAsia" w:hAnsi="Arial" w:cs="Arial"/>
          <w:sz w:val="24"/>
          <w:szCs w:val="24"/>
          <w:lang w:eastAsia="es-MX"/>
        </w:rPr>
        <w:t>l rubro, tipo o clase correspondiente</w:t>
      </w:r>
      <w:r w:rsidR="00CE428B">
        <w:rPr>
          <w:rFonts w:ascii="Arial" w:eastAsiaTheme="minorEastAsia" w:hAnsi="Arial" w:cs="Arial"/>
          <w:sz w:val="24"/>
          <w:szCs w:val="24"/>
          <w:lang w:eastAsia="es-MX"/>
        </w:rPr>
        <w:t xml:space="preserve"> previsto en</w:t>
      </w:r>
      <w:r w:rsidRPr="00570F6B">
        <w:rPr>
          <w:rFonts w:ascii="Arial" w:eastAsiaTheme="minorEastAsia" w:hAnsi="Arial" w:cs="Arial"/>
          <w:sz w:val="24"/>
          <w:szCs w:val="24"/>
          <w:lang w:eastAsia="es-MX"/>
        </w:rPr>
        <w:t xml:space="preserve"> este ordenamiento, a efecto de que se </w:t>
      </w:r>
      <w:r w:rsidR="00CE428B">
        <w:rPr>
          <w:rFonts w:ascii="Arial" w:eastAsiaTheme="minorEastAsia" w:hAnsi="Arial" w:cs="Arial"/>
          <w:sz w:val="24"/>
          <w:szCs w:val="24"/>
          <w:lang w:eastAsia="es-MX"/>
        </w:rPr>
        <w:t>puedan</w:t>
      </w:r>
      <w:r w:rsidRPr="00570F6B">
        <w:rPr>
          <w:rFonts w:ascii="Arial" w:eastAsiaTheme="minorEastAsia" w:hAnsi="Arial" w:cs="Arial"/>
          <w:sz w:val="24"/>
          <w:szCs w:val="24"/>
          <w:lang w:eastAsia="es-MX"/>
        </w:rPr>
        <w:t xml:space="preserve"> elaborar los informes trimestrales que establece la Ley de Presupuesto y Contabilidad Gubernamental del E</w:t>
      </w:r>
      <w:r w:rsidR="00CE428B">
        <w:rPr>
          <w:rFonts w:ascii="Arial" w:eastAsiaTheme="minorEastAsia" w:hAnsi="Arial" w:cs="Arial"/>
          <w:sz w:val="24"/>
          <w:szCs w:val="24"/>
          <w:lang w:eastAsia="es-MX"/>
        </w:rPr>
        <w:t>stado de Yucatán y su r</w:t>
      </w:r>
      <w:r w:rsidRPr="00570F6B">
        <w:rPr>
          <w:rFonts w:ascii="Arial" w:eastAsiaTheme="minorEastAsia" w:hAnsi="Arial" w:cs="Arial"/>
          <w:sz w:val="24"/>
          <w:szCs w:val="24"/>
          <w:lang w:eastAsia="es-MX"/>
        </w:rPr>
        <w:t>eglame</w:t>
      </w:r>
      <w:r w:rsidR="00CE428B">
        <w:rPr>
          <w:rFonts w:ascii="Arial" w:eastAsiaTheme="minorEastAsia" w:hAnsi="Arial" w:cs="Arial"/>
          <w:sz w:val="24"/>
          <w:szCs w:val="24"/>
          <w:lang w:eastAsia="es-MX"/>
        </w:rPr>
        <w:t>nto y se reflejen dentro de la cuenta p</w:t>
      </w:r>
      <w:r w:rsidRPr="00570F6B">
        <w:rPr>
          <w:rFonts w:ascii="Arial" w:eastAsiaTheme="minorEastAsia" w:hAnsi="Arial" w:cs="Arial"/>
          <w:sz w:val="24"/>
          <w:szCs w:val="24"/>
          <w:lang w:eastAsia="es-MX"/>
        </w:rPr>
        <w:t>ública</w:t>
      </w:r>
      <w:r w:rsidR="00CE428B">
        <w:rPr>
          <w:rFonts w:ascii="Arial" w:eastAsiaTheme="minorEastAsia" w:hAnsi="Arial" w:cs="Arial"/>
          <w:sz w:val="24"/>
          <w:szCs w:val="24"/>
          <w:lang w:eastAsia="es-MX"/>
        </w:rPr>
        <w:t>.</w:t>
      </w:r>
    </w:p>
    <w:p w:rsidR="00C042E3" w:rsidRDefault="00CE428B" w:rsidP="00C042E3">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w:t>
      </w:r>
      <w:r w:rsidR="00570F6B" w:rsidRPr="00570F6B">
        <w:rPr>
          <w:rFonts w:ascii="Arial" w:eastAsiaTheme="minorEastAsia" w:hAnsi="Arial" w:cs="Arial"/>
          <w:sz w:val="24"/>
          <w:szCs w:val="24"/>
          <w:lang w:eastAsia="es-MX"/>
        </w:rPr>
        <w:t xml:space="preserve">as entidades paraestatales deberán conservar </w:t>
      </w:r>
      <w:r w:rsidRPr="00570F6B">
        <w:rPr>
          <w:rFonts w:ascii="Arial" w:eastAsiaTheme="minorEastAsia" w:hAnsi="Arial" w:cs="Arial"/>
          <w:sz w:val="24"/>
          <w:szCs w:val="24"/>
          <w:lang w:eastAsia="es-MX"/>
        </w:rPr>
        <w:t>la documentación comprobatoria de dichos ingresos</w:t>
      </w:r>
      <w:r>
        <w:rPr>
          <w:rFonts w:ascii="Arial" w:eastAsiaTheme="minorEastAsia" w:hAnsi="Arial" w:cs="Arial"/>
          <w:sz w:val="24"/>
          <w:szCs w:val="24"/>
          <w:lang w:eastAsia="es-MX"/>
        </w:rPr>
        <w:t xml:space="preserve"> y ponerla </w:t>
      </w:r>
      <w:r w:rsidR="00570F6B" w:rsidRPr="00570F6B">
        <w:rPr>
          <w:rFonts w:ascii="Arial" w:eastAsiaTheme="minorEastAsia" w:hAnsi="Arial" w:cs="Arial"/>
          <w:sz w:val="24"/>
          <w:szCs w:val="24"/>
          <w:lang w:eastAsia="es-MX"/>
        </w:rPr>
        <w:t xml:space="preserve">a disposición </w:t>
      </w:r>
      <w:r>
        <w:rPr>
          <w:rFonts w:ascii="Arial" w:eastAsiaTheme="minorEastAsia" w:hAnsi="Arial" w:cs="Arial"/>
          <w:sz w:val="24"/>
          <w:szCs w:val="24"/>
          <w:lang w:eastAsia="es-MX"/>
        </w:rPr>
        <w:t>de los órganos revisores de la c</w:t>
      </w:r>
      <w:r w:rsidR="00570F6B" w:rsidRPr="00570F6B">
        <w:rPr>
          <w:rFonts w:ascii="Arial" w:eastAsiaTheme="minorEastAsia" w:hAnsi="Arial" w:cs="Arial"/>
          <w:sz w:val="24"/>
          <w:szCs w:val="24"/>
          <w:lang w:eastAsia="es-MX"/>
        </w:rPr>
        <w:t xml:space="preserve">uenta </w:t>
      </w:r>
      <w:r>
        <w:rPr>
          <w:rFonts w:ascii="Arial" w:eastAsiaTheme="minorEastAsia" w:hAnsi="Arial" w:cs="Arial"/>
          <w:sz w:val="24"/>
          <w:szCs w:val="24"/>
          <w:lang w:eastAsia="es-MX"/>
        </w:rPr>
        <w:t>p</w:t>
      </w:r>
      <w:r w:rsidR="00570F6B" w:rsidRPr="00570F6B">
        <w:rPr>
          <w:rFonts w:ascii="Arial" w:eastAsiaTheme="minorEastAsia" w:hAnsi="Arial" w:cs="Arial"/>
          <w:sz w:val="24"/>
          <w:szCs w:val="24"/>
          <w:lang w:eastAsia="es-MX"/>
        </w:rPr>
        <w:t>ública</w:t>
      </w:r>
      <w:r>
        <w:rPr>
          <w:rFonts w:ascii="Arial" w:eastAsiaTheme="minorEastAsia" w:hAnsi="Arial" w:cs="Arial"/>
          <w:sz w:val="24"/>
          <w:szCs w:val="24"/>
          <w:lang w:eastAsia="es-MX"/>
        </w:rPr>
        <w:t>.</w:t>
      </w:r>
      <w:r w:rsidR="00570F6B" w:rsidRPr="00570F6B">
        <w:rPr>
          <w:rFonts w:ascii="Arial" w:eastAsiaTheme="minorEastAsia" w:hAnsi="Arial" w:cs="Arial"/>
          <w:sz w:val="24"/>
          <w:szCs w:val="24"/>
          <w:lang w:eastAsia="es-MX"/>
        </w:rPr>
        <w:t xml:space="preserve"> </w:t>
      </w:r>
    </w:p>
    <w:p w:rsidR="00570F6B" w:rsidRP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t>Las contribuciones, productos o aprovechamientos a los que las leyes de carácter no fiscal otorguen una naturaleza distinta a la establecida en las leyes fiscales, tendrán la naturaleza establecida en las leyes fiscales</w:t>
      </w:r>
      <w:r w:rsidR="00CE428B">
        <w:rPr>
          <w:rFonts w:ascii="Arial" w:eastAsiaTheme="minorEastAsia" w:hAnsi="Arial" w:cs="Arial"/>
          <w:sz w:val="24"/>
          <w:szCs w:val="24"/>
          <w:lang w:eastAsia="es-MX"/>
        </w:rPr>
        <w:t>.</w:t>
      </w:r>
    </w:p>
    <w:p w:rsidR="00570F6B" w:rsidRDefault="00570F6B" w:rsidP="00C042E3">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eastAsiaTheme="minorEastAsia" w:hAnsi="Arial" w:cs="Arial"/>
          <w:sz w:val="24"/>
          <w:szCs w:val="24"/>
          <w:lang w:eastAsia="es-MX"/>
        </w:rPr>
        <w:lastRenderedPageBreak/>
        <w:t xml:space="preserve">Lo señalado en los párrafos anteriores se establece sin perjuicio de la obligación de concentrar los recursos públicos al final del ejercicio en la Tesorería General del Estado, en los términos del artículo 92, párrafo </w:t>
      </w:r>
      <w:r w:rsidR="00CE428B">
        <w:rPr>
          <w:rFonts w:ascii="Arial" w:eastAsiaTheme="minorEastAsia" w:hAnsi="Arial" w:cs="Arial"/>
          <w:sz w:val="24"/>
          <w:szCs w:val="24"/>
          <w:lang w:eastAsia="es-MX"/>
        </w:rPr>
        <w:t>séptimo</w:t>
      </w:r>
      <w:r w:rsidRPr="00570F6B">
        <w:rPr>
          <w:rFonts w:ascii="Arial" w:eastAsiaTheme="minorEastAsia" w:hAnsi="Arial" w:cs="Arial"/>
          <w:sz w:val="24"/>
          <w:szCs w:val="24"/>
          <w:lang w:eastAsia="es-MX"/>
        </w:rPr>
        <w:t>, de la Ley de Presupuesto y Contabilidad Gubernamental del Estado de Yucatán.</w:t>
      </w:r>
    </w:p>
    <w:p w:rsidR="003D70A6" w:rsidRPr="009A3CEF" w:rsidRDefault="003D70A6" w:rsidP="003D70A6">
      <w:pPr>
        <w:spacing w:before="100" w:beforeAutospacing="1" w:after="100" w:afterAutospacing="1" w:line="240" w:lineRule="auto"/>
        <w:rPr>
          <w:rFonts w:ascii="Arial" w:hAnsi="Arial" w:cs="Arial"/>
          <w:sz w:val="24"/>
          <w:szCs w:val="24"/>
        </w:rPr>
      </w:pPr>
      <w:r w:rsidRPr="009A3CEF">
        <w:rPr>
          <w:rFonts w:ascii="Arial" w:hAnsi="Arial" w:cs="Arial"/>
          <w:b/>
          <w:sz w:val="24"/>
          <w:szCs w:val="24"/>
        </w:rPr>
        <w:t xml:space="preserve">Artículo </w:t>
      </w:r>
      <w:r w:rsidR="00D2064F">
        <w:rPr>
          <w:rFonts w:ascii="Arial" w:hAnsi="Arial" w:cs="Arial"/>
          <w:b/>
          <w:sz w:val="24"/>
          <w:szCs w:val="24"/>
        </w:rPr>
        <w:t>7</w:t>
      </w:r>
      <w:r w:rsidRPr="009A3CEF">
        <w:rPr>
          <w:rFonts w:ascii="Arial" w:hAnsi="Arial" w:cs="Arial"/>
          <w:b/>
          <w:sz w:val="24"/>
          <w:szCs w:val="24"/>
        </w:rPr>
        <w:t>. Concentración de ingresos</w:t>
      </w:r>
      <w:r w:rsidR="00570F6B">
        <w:rPr>
          <w:rFonts w:ascii="Arial" w:hAnsi="Arial" w:cs="Arial"/>
          <w:b/>
          <w:sz w:val="24"/>
          <w:szCs w:val="24"/>
        </w:rPr>
        <w:t xml:space="preserve"> por bienes</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 xml:space="preserve">Los ingresos que se recauden por concepto de bienes del </w:t>
      </w:r>
      <w:r w:rsidR="00B7228D">
        <w:rPr>
          <w:rFonts w:ascii="Arial" w:eastAsiaTheme="minorEastAsia" w:hAnsi="Arial" w:cs="Arial"/>
          <w:sz w:val="24"/>
          <w:szCs w:val="24"/>
          <w:lang w:eastAsia="es-MX"/>
        </w:rPr>
        <w:t>E</w:t>
      </w:r>
      <w:r w:rsidRPr="003D70A6">
        <w:rPr>
          <w:rFonts w:ascii="Arial" w:eastAsiaTheme="minorEastAsia" w:hAnsi="Arial" w:cs="Arial"/>
          <w:sz w:val="24"/>
          <w:szCs w:val="24"/>
          <w:lang w:eastAsia="es-MX"/>
        </w:rPr>
        <w:t>stado</w:t>
      </w:r>
      <w:r w:rsidR="00A53216">
        <w:rPr>
          <w:rFonts w:ascii="Arial" w:eastAsiaTheme="minorEastAsia" w:hAnsi="Arial" w:cs="Arial"/>
          <w:sz w:val="24"/>
          <w:szCs w:val="24"/>
          <w:lang w:eastAsia="es-MX"/>
        </w:rPr>
        <w:t xml:space="preserve"> se enterarán a la T</w:t>
      </w:r>
      <w:r w:rsidRPr="003D70A6">
        <w:rPr>
          <w:rFonts w:ascii="Arial" w:eastAsiaTheme="minorEastAsia" w:hAnsi="Arial" w:cs="Arial"/>
          <w:sz w:val="24"/>
          <w:szCs w:val="24"/>
          <w:lang w:eastAsia="es-MX"/>
        </w:rPr>
        <w:t xml:space="preserve">esorería </w:t>
      </w:r>
      <w:r w:rsidR="00A53216">
        <w:rPr>
          <w:rFonts w:ascii="Arial" w:eastAsiaTheme="minorEastAsia" w:hAnsi="Arial" w:cs="Arial"/>
          <w:sz w:val="24"/>
          <w:szCs w:val="24"/>
          <w:lang w:eastAsia="es-MX"/>
        </w:rPr>
        <w:t>G</w:t>
      </w:r>
      <w:r w:rsidRPr="003D70A6">
        <w:rPr>
          <w:rFonts w:ascii="Arial" w:eastAsiaTheme="minorEastAsia" w:hAnsi="Arial" w:cs="Arial"/>
          <w:sz w:val="24"/>
          <w:szCs w:val="24"/>
          <w:lang w:eastAsia="es-MX"/>
        </w:rPr>
        <w:t>eneral</w:t>
      </w:r>
      <w:r w:rsidR="00A53216">
        <w:rPr>
          <w:rFonts w:ascii="Arial" w:eastAsiaTheme="minorEastAsia" w:hAnsi="Arial" w:cs="Arial"/>
          <w:sz w:val="24"/>
          <w:szCs w:val="24"/>
          <w:lang w:eastAsia="es-MX"/>
        </w:rPr>
        <w:t xml:space="preserve"> del Estado</w:t>
      </w:r>
      <w:r w:rsidRPr="003D70A6">
        <w:rPr>
          <w:rFonts w:ascii="Arial" w:eastAsiaTheme="minorEastAsia" w:hAnsi="Arial" w:cs="Arial"/>
          <w:sz w:val="24"/>
          <w:szCs w:val="24"/>
          <w:lang w:eastAsia="es-MX"/>
        </w:rPr>
        <w:t xml:space="preserve"> hasta el momento en que se cobre la contraprestación pactada por la enajenación de dichos bienes.</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 xml:space="preserve">Los ingresos que se enteren a la Tesorería General del Estado por </w:t>
      </w:r>
      <w:r w:rsidR="00A53216">
        <w:rPr>
          <w:rFonts w:ascii="Arial" w:eastAsiaTheme="minorEastAsia" w:hAnsi="Arial" w:cs="Arial"/>
          <w:sz w:val="24"/>
          <w:szCs w:val="24"/>
          <w:lang w:eastAsia="es-MX"/>
        </w:rPr>
        <w:t>el</w:t>
      </w:r>
      <w:r w:rsidRPr="003D70A6">
        <w:rPr>
          <w:rFonts w:ascii="Arial" w:eastAsiaTheme="minorEastAsia" w:hAnsi="Arial" w:cs="Arial"/>
          <w:sz w:val="24"/>
          <w:szCs w:val="24"/>
          <w:lang w:eastAsia="es-MX"/>
        </w:rPr>
        <w:t xml:space="preserve"> concepto</w:t>
      </w:r>
      <w:r w:rsidR="00A53216">
        <w:rPr>
          <w:rFonts w:ascii="Arial" w:eastAsiaTheme="minorEastAsia" w:hAnsi="Arial" w:cs="Arial"/>
          <w:sz w:val="24"/>
          <w:szCs w:val="24"/>
          <w:lang w:eastAsia="es-MX"/>
        </w:rPr>
        <w:t xml:space="preserve"> señalado en el párrafo anterior</w:t>
      </w:r>
      <w:r w:rsidRPr="003D70A6">
        <w:rPr>
          <w:rFonts w:ascii="Arial" w:eastAsiaTheme="minorEastAsia" w:hAnsi="Arial" w:cs="Arial"/>
          <w:sz w:val="24"/>
          <w:szCs w:val="24"/>
          <w:lang w:eastAsia="es-MX"/>
        </w:rPr>
        <w:t xml:space="preserve"> serán los </w:t>
      </w:r>
      <w:r w:rsidR="00E94115">
        <w:rPr>
          <w:rFonts w:ascii="Arial" w:eastAsiaTheme="minorEastAsia" w:hAnsi="Arial" w:cs="Arial"/>
          <w:sz w:val="24"/>
          <w:szCs w:val="24"/>
          <w:lang w:eastAsia="es-MX"/>
        </w:rPr>
        <w:t xml:space="preserve">importes </w:t>
      </w:r>
      <w:r w:rsidRPr="003D70A6">
        <w:rPr>
          <w:rFonts w:ascii="Arial" w:eastAsiaTheme="minorEastAsia" w:hAnsi="Arial" w:cs="Arial"/>
          <w:sz w:val="24"/>
          <w:szCs w:val="24"/>
          <w:lang w:eastAsia="es-MX"/>
        </w:rPr>
        <w:t xml:space="preserve">netos que resulten de </w:t>
      </w:r>
      <w:r w:rsidR="00E94115">
        <w:rPr>
          <w:rFonts w:ascii="Arial" w:eastAsiaTheme="minorEastAsia" w:hAnsi="Arial" w:cs="Arial"/>
          <w:sz w:val="24"/>
          <w:szCs w:val="24"/>
          <w:lang w:eastAsia="es-MX"/>
        </w:rPr>
        <w:t xml:space="preserve">restar al ingreso percibido, </w:t>
      </w:r>
      <w:r w:rsidRPr="003D70A6">
        <w:rPr>
          <w:rFonts w:ascii="Arial" w:eastAsiaTheme="minorEastAsia" w:hAnsi="Arial" w:cs="Arial"/>
          <w:sz w:val="24"/>
          <w:szCs w:val="24"/>
          <w:lang w:eastAsia="es-MX"/>
        </w:rPr>
        <w:t>las erogaciones efectuadas para realizar la enajenación de los bienes así como las erogaciones a que se refiere el párrafo siguiente.</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Los ingresos netos</w:t>
      </w:r>
      <w:r w:rsidR="00E94115">
        <w:rPr>
          <w:rFonts w:ascii="Arial" w:eastAsiaTheme="minorEastAsia" w:hAnsi="Arial" w:cs="Arial"/>
          <w:sz w:val="24"/>
          <w:szCs w:val="24"/>
          <w:lang w:eastAsia="es-MX"/>
        </w:rPr>
        <w:t xml:space="preserve"> que se obtengan </w:t>
      </w:r>
      <w:r w:rsidRPr="003D70A6">
        <w:rPr>
          <w:rFonts w:ascii="Arial" w:eastAsiaTheme="minorEastAsia" w:hAnsi="Arial" w:cs="Arial"/>
          <w:sz w:val="24"/>
          <w:szCs w:val="24"/>
          <w:lang w:eastAsia="es-MX"/>
        </w:rPr>
        <w:t>por</w:t>
      </w:r>
      <w:r w:rsidR="00E94115">
        <w:rPr>
          <w:rFonts w:ascii="Arial" w:eastAsiaTheme="minorEastAsia" w:hAnsi="Arial" w:cs="Arial"/>
          <w:sz w:val="24"/>
          <w:szCs w:val="24"/>
          <w:lang w:eastAsia="es-MX"/>
        </w:rPr>
        <w:t xml:space="preserve"> la</w:t>
      </w:r>
      <w:r w:rsidRPr="003D70A6">
        <w:rPr>
          <w:rFonts w:ascii="Arial" w:eastAsiaTheme="minorEastAsia" w:hAnsi="Arial" w:cs="Arial"/>
          <w:sz w:val="24"/>
          <w:szCs w:val="24"/>
          <w:lang w:eastAsia="es-MX"/>
        </w:rPr>
        <w:t xml:space="preserve"> </w:t>
      </w:r>
      <w:r w:rsidR="0047799A">
        <w:rPr>
          <w:rFonts w:ascii="Arial" w:eastAsiaTheme="minorEastAsia" w:hAnsi="Arial" w:cs="Arial"/>
          <w:sz w:val="24"/>
          <w:szCs w:val="24"/>
          <w:lang w:eastAsia="es-MX"/>
        </w:rPr>
        <w:t>desincorporación</w:t>
      </w:r>
      <w:r w:rsidR="00E94115">
        <w:rPr>
          <w:rFonts w:ascii="Arial" w:eastAsiaTheme="minorEastAsia" w:hAnsi="Arial" w:cs="Arial"/>
          <w:sz w:val="24"/>
          <w:szCs w:val="24"/>
          <w:lang w:eastAsia="es-MX"/>
        </w:rPr>
        <w:t xml:space="preserve"> </w:t>
      </w:r>
      <w:r w:rsidRPr="003D70A6">
        <w:rPr>
          <w:rFonts w:ascii="Arial" w:eastAsiaTheme="minorEastAsia" w:hAnsi="Arial" w:cs="Arial"/>
          <w:sz w:val="24"/>
          <w:szCs w:val="24"/>
          <w:lang w:eastAsia="es-MX"/>
        </w:rPr>
        <w:t>de</w:t>
      </w:r>
      <w:r w:rsidR="00E94115">
        <w:rPr>
          <w:rFonts w:ascii="Arial" w:eastAsiaTheme="minorEastAsia" w:hAnsi="Arial" w:cs="Arial"/>
          <w:sz w:val="24"/>
          <w:szCs w:val="24"/>
          <w:lang w:eastAsia="es-MX"/>
        </w:rPr>
        <w:t xml:space="preserve"> las</w:t>
      </w:r>
      <w:r w:rsidRPr="003D70A6">
        <w:rPr>
          <w:rFonts w:ascii="Arial" w:eastAsiaTheme="minorEastAsia" w:hAnsi="Arial" w:cs="Arial"/>
          <w:sz w:val="24"/>
          <w:szCs w:val="24"/>
          <w:lang w:eastAsia="es-MX"/>
        </w:rPr>
        <w:t xml:space="preserve"> entidades paraestatales son los recursos efectivamente recibidos por el </w:t>
      </w:r>
      <w:r w:rsidR="00E94115">
        <w:rPr>
          <w:rFonts w:ascii="Arial" w:eastAsiaTheme="minorEastAsia" w:hAnsi="Arial" w:cs="Arial"/>
          <w:sz w:val="24"/>
          <w:szCs w:val="24"/>
          <w:lang w:eastAsia="es-MX"/>
        </w:rPr>
        <w:t>gobierno e</w:t>
      </w:r>
      <w:r w:rsidRPr="003D70A6">
        <w:rPr>
          <w:rFonts w:ascii="Arial" w:eastAsiaTheme="minorEastAsia" w:hAnsi="Arial" w:cs="Arial"/>
          <w:sz w:val="24"/>
          <w:szCs w:val="24"/>
          <w:lang w:eastAsia="es-MX"/>
        </w:rPr>
        <w:t xml:space="preserve">statal,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 </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Los ingresos netos se enterarán o concentrarán, según corresponda en la Tesorería General del Estado y deberán manifestarse tanto</w:t>
      </w:r>
      <w:r w:rsidR="00E94115">
        <w:rPr>
          <w:rFonts w:ascii="Arial" w:eastAsiaTheme="minorEastAsia" w:hAnsi="Arial" w:cs="Arial"/>
          <w:sz w:val="24"/>
          <w:szCs w:val="24"/>
          <w:lang w:eastAsia="es-MX"/>
        </w:rPr>
        <w:t xml:space="preserve"> en los registros de la propia t</w:t>
      </w:r>
      <w:r w:rsidRPr="003D70A6">
        <w:rPr>
          <w:rFonts w:ascii="Arial" w:eastAsiaTheme="minorEastAsia" w:hAnsi="Arial" w:cs="Arial"/>
          <w:sz w:val="24"/>
          <w:szCs w:val="24"/>
          <w:lang w:eastAsia="es-MX"/>
        </w:rPr>
        <w:t xml:space="preserve">esorería como en la </w:t>
      </w:r>
      <w:r w:rsidR="00E94115">
        <w:rPr>
          <w:rFonts w:ascii="Arial" w:eastAsiaTheme="minorEastAsia" w:hAnsi="Arial" w:cs="Arial"/>
          <w:sz w:val="24"/>
          <w:szCs w:val="24"/>
          <w:lang w:eastAsia="es-MX"/>
        </w:rPr>
        <w:t>c</w:t>
      </w:r>
      <w:r w:rsidRPr="003D70A6">
        <w:rPr>
          <w:rFonts w:ascii="Arial" w:eastAsiaTheme="minorEastAsia" w:hAnsi="Arial" w:cs="Arial"/>
          <w:sz w:val="24"/>
          <w:szCs w:val="24"/>
          <w:lang w:eastAsia="es-MX"/>
        </w:rPr>
        <w:t xml:space="preserve">uenta </w:t>
      </w:r>
      <w:r w:rsidR="00E94115">
        <w:rPr>
          <w:rFonts w:ascii="Arial" w:eastAsiaTheme="minorEastAsia" w:hAnsi="Arial" w:cs="Arial"/>
          <w:sz w:val="24"/>
          <w:szCs w:val="24"/>
          <w:lang w:eastAsia="es-MX"/>
        </w:rPr>
        <w:t>pública del e</w:t>
      </w:r>
      <w:r w:rsidRPr="003D70A6">
        <w:rPr>
          <w:rFonts w:ascii="Arial" w:eastAsiaTheme="minorEastAsia" w:hAnsi="Arial" w:cs="Arial"/>
          <w:sz w:val="24"/>
          <w:szCs w:val="24"/>
          <w:lang w:eastAsia="es-MX"/>
        </w:rPr>
        <w:t>stado.</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 xml:space="preserve">Los recursos públicos remanentes </w:t>
      </w:r>
      <w:r w:rsidR="00B7228D">
        <w:rPr>
          <w:rFonts w:ascii="Arial" w:eastAsiaTheme="minorEastAsia" w:hAnsi="Arial" w:cs="Arial"/>
          <w:sz w:val="24"/>
          <w:szCs w:val="24"/>
          <w:lang w:eastAsia="es-MX"/>
        </w:rPr>
        <w:t>a</w:t>
      </w:r>
      <w:r w:rsidRPr="003D70A6">
        <w:rPr>
          <w:rFonts w:ascii="Arial" w:eastAsiaTheme="minorEastAsia" w:hAnsi="Arial" w:cs="Arial"/>
          <w:sz w:val="24"/>
          <w:szCs w:val="24"/>
          <w:lang w:eastAsia="es-MX"/>
        </w:rPr>
        <w:t xml:space="preserve"> la </w:t>
      </w:r>
      <w:r w:rsidR="00446318">
        <w:rPr>
          <w:rFonts w:ascii="Arial" w:eastAsiaTheme="minorEastAsia" w:hAnsi="Arial" w:cs="Arial"/>
          <w:sz w:val="24"/>
          <w:szCs w:val="24"/>
          <w:lang w:eastAsia="es-MX"/>
        </w:rPr>
        <w:t>rescisión</w:t>
      </w:r>
      <w:r w:rsidRPr="003D70A6">
        <w:rPr>
          <w:rFonts w:ascii="Arial" w:eastAsiaTheme="minorEastAsia" w:hAnsi="Arial" w:cs="Arial"/>
          <w:sz w:val="24"/>
          <w:szCs w:val="24"/>
          <w:lang w:eastAsia="es-MX"/>
        </w:rPr>
        <w:t xml:space="preserve"> o terminación de la vigencia de un fideicomiso, mandato o contrato análogo</w:t>
      </w:r>
      <w:r w:rsidR="00446318">
        <w:rPr>
          <w:rFonts w:ascii="Arial" w:eastAsiaTheme="minorEastAsia" w:hAnsi="Arial" w:cs="Arial"/>
          <w:sz w:val="24"/>
          <w:szCs w:val="24"/>
          <w:lang w:eastAsia="es-MX"/>
        </w:rPr>
        <w:t>,</w:t>
      </w:r>
      <w:r w:rsidRPr="003D70A6">
        <w:rPr>
          <w:rFonts w:ascii="Arial" w:eastAsiaTheme="minorEastAsia" w:hAnsi="Arial" w:cs="Arial"/>
          <w:sz w:val="24"/>
          <w:szCs w:val="24"/>
          <w:lang w:eastAsia="es-MX"/>
        </w:rPr>
        <w:t xml:space="preserve"> deberán ser concentrados en la Tesorería General del Estado bajo la naturaleza de productos o aprovechamientos, según </w:t>
      </w:r>
      <w:r w:rsidR="00446318">
        <w:rPr>
          <w:rFonts w:ascii="Arial" w:eastAsiaTheme="minorEastAsia" w:hAnsi="Arial" w:cs="Arial"/>
          <w:sz w:val="24"/>
          <w:szCs w:val="24"/>
          <w:lang w:eastAsia="es-MX"/>
        </w:rPr>
        <w:t xml:space="preserve">sea </w:t>
      </w:r>
      <w:r w:rsidRPr="003D70A6">
        <w:rPr>
          <w:rFonts w:ascii="Arial" w:eastAsiaTheme="minorEastAsia" w:hAnsi="Arial" w:cs="Arial"/>
          <w:sz w:val="24"/>
          <w:szCs w:val="24"/>
          <w:lang w:eastAsia="es-MX"/>
        </w:rPr>
        <w:t>su origen, y se podrán destinar a la dependencia que aportó los recursos o a la dependencia o entidad que concuerde con los fines u objeto para los cuales se creó el fideicomiso, mandat</w:t>
      </w:r>
      <w:r w:rsidR="00446318">
        <w:rPr>
          <w:rFonts w:ascii="Arial" w:eastAsiaTheme="minorEastAsia" w:hAnsi="Arial" w:cs="Arial"/>
          <w:sz w:val="24"/>
          <w:szCs w:val="24"/>
          <w:lang w:eastAsia="es-MX"/>
        </w:rPr>
        <w:t>o o contrato análogo, salvo aque</w:t>
      </w:r>
      <w:r w:rsidRPr="003D70A6">
        <w:rPr>
          <w:rFonts w:ascii="Arial" w:eastAsiaTheme="minorEastAsia" w:hAnsi="Arial" w:cs="Arial"/>
          <w:sz w:val="24"/>
          <w:szCs w:val="24"/>
          <w:lang w:eastAsia="es-MX"/>
        </w:rPr>
        <w:t xml:space="preserve">llos para los que esté previsto un destino distinto en el instrumento correspondiente. </w:t>
      </w:r>
    </w:p>
    <w:p w:rsidR="003D70A6" w:rsidRPr="003D70A6" w:rsidRDefault="003D70A6" w:rsidP="003D70A6">
      <w:pPr>
        <w:spacing w:before="100" w:beforeAutospacing="1" w:after="100" w:afterAutospacing="1" w:line="240" w:lineRule="auto"/>
        <w:jc w:val="both"/>
        <w:rPr>
          <w:rFonts w:ascii="Arial" w:eastAsiaTheme="minorEastAsia" w:hAnsi="Arial" w:cs="Arial"/>
          <w:sz w:val="24"/>
          <w:szCs w:val="24"/>
          <w:lang w:eastAsia="es-MX"/>
        </w:rPr>
      </w:pPr>
      <w:r w:rsidRPr="003D70A6">
        <w:rPr>
          <w:rFonts w:ascii="Arial" w:eastAsiaTheme="minorEastAsia" w:hAnsi="Arial" w:cs="Arial"/>
          <w:sz w:val="24"/>
          <w:szCs w:val="24"/>
          <w:lang w:eastAsia="es-MX"/>
        </w:rPr>
        <w:t>Los pasivos a cargo de organismos</w:t>
      </w:r>
      <w:r w:rsidR="00446318">
        <w:rPr>
          <w:rFonts w:ascii="Arial" w:eastAsiaTheme="minorEastAsia" w:hAnsi="Arial" w:cs="Arial"/>
          <w:sz w:val="24"/>
          <w:szCs w:val="24"/>
          <w:lang w:eastAsia="es-MX"/>
        </w:rPr>
        <w:t xml:space="preserve"> públicos</w:t>
      </w:r>
      <w:r w:rsidRPr="003D70A6">
        <w:rPr>
          <w:rFonts w:ascii="Arial" w:eastAsiaTheme="minorEastAsia" w:hAnsi="Arial" w:cs="Arial"/>
          <w:sz w:val="24"/>
          <w:szCs w:val="24"/>
          <w:lang w:eastAsia="es-MX"/>
        </w:rPr>
        <w:t xml:space="preserve"> descentralizados en proceso de </w:t>
      </w:r>
      <w:r w:rsidR="0079342C">
        <w:rPr>
          <w:rFonts w:ascii="Arial" w:eastAsiaTheme="minorEastAsia" w:hAnsi="Arial" w:cs="Arial"/>
          <w:sz w:val="24"/>
          <w:szCs w:val="24"/>
          <w:lang w:eastAsia="es-MX"/>
        </w:rPr>
        <w:t>desincorporación</w:t>
      </w:r>
      <w:r w:rsidRPr="003D70A6">
        <w:rPr>
          <w:rFonts w:ascii="Arial" w:eastAsiaTheme="minorEastAsia" w:hAnsi="Arial" w:cs="Arial"/>
          <w:sz w:val="24"/>
          <w:szCs w:val="24"/>
          <w:lang w:eastAsia="es-MX"/>
        </w:rPr>
        <w:t xml:space="preserve"> que tengan como acreedor al </w:t>
      </w:r>
      <w:r w:rsidR="00446318">
        <w:rPr>
          <w:rFonts w:ascii="Arial" w:eastAsiaTheme="minorEastAsia" w:hAnsi="Arial" w:cs="Arial"/>
          <w:sz w:val="24"/>
          <w:szCs w:val="24"/>
          <w:lang w:eastAsia="es-MX"/>
        </w:rPr>
        <w:t>gobierno e</w:t>
      </w:r>
      <w:r w:rsidRPr="003D70A6">
        <w:rPr>
          <w:rFonts w:ascii="Arial" w:eastAsiaTheme="minorEastAsia" w:hAnsi="Arial" w:cs="Arial"/>
          <w:sz w:val="24"/>
          <w:szCs w:val="24"/>
          <w:lang w:eastAsia="es-MX"/>
        </w:rPr>
        <w:t xml:space="preserve">statal, con excepción de </w:t>
      </w:r>
      <w:r w:rsidRPr="003D70A6">
        <w:rPr>
          <w:rFonts w:ascii="Arial" w:eastAsiaTheme="minorEastAsia" w:hAnsi="Arial" w:cs="Arial"/>
          <w:sz w:val="24"/>
          <w:szCs w:val="24"/>
          <w:lang w:eastAsia="es-MX"/>
        </w:rPr>
        <w:lastRenderedPageBreak/>
        <w:t>aqu</w:t>
      </w:r>
      <w:r w:rsidR="00446318">
        <w:rPr>
          <w:rFonts w:ascii="Arial" w:eastAsiaTheme="minorEastAsia" w:hAnsi="Arial" w:cs="Arial"/>
          <w:sz w:val="24"/>
          <w:szCs w:val="24"/>
          <w:lang w:eastAsia="es-MX"/>
        </w:rPr>
        <w:t>e</w:t>
      </w:r>
      <w:r w:rsidRPr="003D70A6">
        <w:rPr>
          <w:rFonts w:ascii="Arial" w:eastAsiaTheme="minorEastAsia" w:hAnsi="Arial" w:cs="Arial"/>
          <w:sz w:val="24"/>
          <w:szCs w:val="24"/>
          <w:lang w:eastAsia="es-MX"/>
        </w:rPr>
        <w:t>llos que tengan el carácter de crédito fiscal, quedarán extinguidos de pleno derecho sin necesidad de autorización alguna, y los créditos quedarán cancelados de las cuentas públicas.</w:t>
      </w:r>
    </w:p>
    <w:p w:rsidR="003D70A6" w:rsidRPr="003D70A6" w:rsidRDefault="00AF5885" w:rsidP="003D70A6">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Los ingresos que el E</w:t>
      </w:r>
      <w:r w:rsidR="003D70A6" w:rsidRPr="003D70A6">
        <w:rPr>
          <w:rFonts w:ascii="Arial" w:eastAsiaTheme="minorEastAsia" w:hAnsi="Arial" w:cs="Arial"/>
          <w:sz w:val="24"/>
          <w:szCs w:val="24"/>
          <w:lang w:eastAsia="es-MX"/>
        </w:rPr>
        <w:t>stado obtenga en términos del artículo 7</w:t>
      </w:r>
      <w:r>
        <w:rPr>
          <w:rFonts w:ascii="Arial" w:eastAsiaTheme="minorEastAsia" w:hAnsi="Arial" w:cs="Arial"/>
          <w:sz w:val="24"/>
          <w:szCs w:val="24"/>
          <w:lang w:eastAsia="es-MX"/>
        </w:rPr>
        <w:t>1 de la Ley General de Víctimas</w:t>
      </w:r>
      <w:r w:rsidR="003D70A6" w:rsidRPr="003D70A6">
        <w:rPr>
          <w:rFonts w:ascii="Arial" w:eastAsiaTheme="minorEastAsia" w:hAnsi="Arial" w:cs="Arial"/>
          <w:sz w:val="24"/>
          <w:szCs w:val="24"/>
          <w:lang w:eastAsia="es-MX"/>
        </w:rPr>
        <w:t xml:space="preserve"> serán integrados al patrimonio del Fondo </w:t>
      </w:r>
      <w:r>
        <w:rPr>
          <w:rFonts w:ascii="Arial" w:eastAsiaTheme="minorEastAsia" w:hAnsi="Arial" w:cs="Arial"/>
          <w:sz w:val="24"/>
          <w:szCs w:val="24"/>
          <w:lang w:eastAsia="es-MX"/>
        </w:rPr>
        <w:t xml:space="preserve">Estatal </w:t>
      </w:r>
      <w:r w:rsidR="003D70A6" w:rsidRPr="003D70A6">
        <w:rPr>
          <w:rFonts w:ascii="Arial" w:eastAsiaTheme="minorEastAsia" w:hAnsi="Arial" w:cs="Arial"/>
          <w:sz w:val="24"/>
          <w:szCs w:val="24"/>
          <w:lang w:eastAsia="es-MX"/>
        </w:rPr>
        <w:t>de Ayuda, Asistencia y Repa</w:t>
      </w:r>
      <w:r w:rsidR="008431A6">
        <w:rPr>
          <w:rFonts w:ascii="Arial" w:eastAsiaTheme="minorEastAsia" w:hAnsi="Arial" w:cs="Arial"/>
          <w:sz w:val="24"/>
          <w:szCs w:val="24"/>
          <w:lang w:eastAsia="es-MX"/>
        </w:rPr>
        <w:t>ración Integral</w:t>
      </w:r>
      <w:r>
        <w:rPr>
          <w:rFonts w:ascii="Arial" w:eastAsiaTheme="minorEastAsia" w:hAnsi="Arial" w:cs="Arial"/>
          <w:sz w:val="24"/>
          <w:szCs w:val="24"/>
          <w:lang w:eastAsia="es-MX"/>
        </w:rPr>
        <w:t>.</w:t>
      </w:r>
    </w:p>
    <w:p w:rsidR="00D2064F" w:rsidRPr="009A3CEF" w:rsidRDefault="00D2064F" w:rsidP="00D2064F">
      <w:pPr>
        <w:spacing w:before="100" w:beforeAutospacing="1" w:after="100" w:afterAutospacing="1" w:line="240" w:lineRule="auto"/>
        <w:rPr>
          <w:rFonts w:ascii="Arial" w:hAnsi="Arial" w:cs="Arial"/>
          <w:sz w:val="24"/>
          <w:szCs w:val="24"/>
        </w:rPr>
      </w:pPr>
      <w:r w:rsidRPr="009A3CEF">
        <w:rPr>
          <w:rFonts w:ascii="Arial" w:hAnsi="Arial" w:cs="Arial"/>
          <w:b/>
          <w:sz w:val="24"/>
          <w:szCs w:val="24"/>
        </w:rPr>
        <w:t xml:space="preserve">Artículo </w:t>
      </w:r>
      <w:r>
        <w:rPr>
          <w:rFonts w:ascii="Arial" w:hAnsi="Arial" w:cs="Arial"/>
          <w:b/>
          <w:sz w:val="24"/>
          <w:szCs w:val="24"/>
        </w:rPr>
        <w:t>8</w:t>
      </w:r>
      <w:r w:rsidRPr="009A3CEF">
        <w:rPr>
          <w:rFonts w:ascii="Arial" w:hAnsi="Arial" w:cs="Arial"/>
          <w:b/>
          <w:sz w:val="24"/>
          <w:szCs w:val="24"/>
        </w:rPr>
        <w:t xml:space="preserve">. </w:t>
      </w:r>
      <w:r>
        <w:rPr>
          <w:rFonts w:ascii="Arial" w:hAnsi="Arial" w:cs="Arial"/>
          <w:b/>
          <w:sz w:val="24"/>
          <w:szCs w:val="24"/>
        </w:rPr>
        <w:t>Excepción de c</w:t>
      </w:r>
      <w:r w:rsidRPr="009A3CEF">
        <w:rPr>
          <w:rFonts w:ascii="Arial" w:hAnsi="Arial" w:cs="Arial"/>
          <w:b/>
          <w:sz w:val="24"/>
          <w:szCs w:val="24"/>
        </w:rPr>
        <w:t>oncentración de ingresos</w:t>
      </w:r>
    </w:p>
    <w:p w:rsidR="00D2064F" w:rsidRPr="00D2064F" w:rsidRDefault="00D2064F" w:rsidP="00D2064F">
      <w:pPr>
        <w:spacing w:line="240" w:lineRule="auto"/>
        <w:jc w:val="both"/>
        <w:rPr>
          <w:rFonts w:ascii="Arial" w:eastAsiaTheme="minorEastAsia" w:hAnsi="Arial" w:cs="Arial"/>
          <w:sz w:val="24"/>
          <w:szCs w:val="24"/>
          <w:lang w:eastAsia="es-MX"/>
        </w:rPr>
      </w:pPr>
      <w:r w:rsidRPr="00D2064F">
        <w:rPr>
          <w:rFonts w:ascii="Arial" w:eastAsiaTheme="minorEastAsia" w:hAnsi="Arial" w:cs="Arial"/>
          <w:sz w:val="24"/>
          <w:szCs w:val="24"/>
          <w:lang w:eastAsia="es-MX"/>
        </w:rPr>
        <w:t>Los ingresos provenientes de las aportaciones de seguridad social destinados al Instituto de Seguridad y Servicios Sociales de los Trabajadores del Estado de Yucatán, no se concentrarán en la Tesorería General del  Estado y podrán ser recaudad</w:t>
      </w:r>
      <w:r w:rsidR="00FC5330">
        <w:rPr>
          <w:rFonts w:ascii="Arial" w:eastAsiaTheme="minorEastAsia" w:hAnsi="Arial" w:cs="Arial"/>
          <w:sz w:val="24"/>
          <w:szCs w:val="24"/>
          <w:lang w:eastAsia="es-MX"/>
        </w:rPr>
        <w:t>os por las oficinas del propio i</w:t>
      </w:r>
      <w:r w:rsidRPr="00D2064F">
        <w:rPr>
          <w:rFonts w:ascii="Arial" w:eastAsiaTheme="minorEastAsia" w:hAnsi="Arial" w:cs="Arial"/>
          <w:sz w:val="24"/>
          <w:szCs w:val="24"/>
          <w:lang w:eastAsia="es-MX"/>
        </w:rPr>
        <w:t>nstituto o por las instituciones de crédito que autorice la Secretarí</w:t>
      </w:r>
      <w:r w:rsidR="00630E74">
        <w:rPr>
          <w:rFonts w:ascii="Arial" w:eastAsiaTheme="minorEastAsia" w:hAnsi="Arial" w:cs="Arial"/>
          <w:sz w:val="24"/>
          <w:szCs w:val="24"/>
          <w:lang w:eastAsia="es-MX"/>
        </w:rPr>
        <w:t>a de Administración y Finanzas. Para ello, deberán</w:t>
      </w:r>
      <w:r w:rsidRPr="00D2064F">
        <w:rPr>
          <w:rFonts w:ascii="Arial" w:eastAsiaTheme="minorEastAsia" w:hAnsi="Arial" w:cs="Arial"/>
          <w:sz w:val="24"/>
          <w:szCs w:val="24"/>
          <w:lang w:eastAsia="es-MX"/>
        </w:rPr>
        <w:t xml:space="preserve"> cumplir con los requisitos contables e</w:t>
      </w:r>
      <w:r w:rsidR="00630E74">
        <w:rPr>
          <w:rFonts w:ascii="Arial" w:eastAsiaTheme="minorEastAsia" w:hAnsi="Arial" w:cs="Arial"/>
          <w:sz w:val="24"/>
          <w:szCs w:val="24"/>
          <w:lang w:eastAsia="es-MX"/>
        </w:rPr>
        <w:t>stablecidos y reflejarse en la cuenta p</w:t>
      </w:r>
      <w:r w:rsidRPr="00D2064F">
        <w:rPr>
          <w:rFonts w:ascii="Arial" w:eastAsiaTheme="minorEastAsia" w:hAnsi="Arial" w:cs="Arial"/>
          <w:sz w:val="24"/>
          <w:szCs w:val="24"/>
          <w:lang w:eastAsia="es-MX"/>
        </w:rPr>
        <w:t>ública</w:t>
      </w:r>
      <w:r w:rsidR="00630E74">
        <w:rPr>
          <w:rFonts w:ascii="Arial" w:eastAsiaTheme="minorEastAsia" w:hAnsi="Arial" w:cs="Arial"/>
          <w:sz w:val="24"/>
          <w:szCs w:val="24"/>
          <w:lang w:eastAsia="es-MX"/>
        </w:rPr>
        <w:t>.</w:t>
      </w:r>
    </w:p>
    <w:p w:rsidR="00B97D30" w:rsidRDefault="00B97D30" w:rsidP="00B97D30">
      <w:pPr>
        <w:spacing w:before="100" w:beforeAutospacing="1" w:after="100" w:afterAutospacing="1" w:line="240" w:lineRule="auto"/>
        <w:jc w:val="both"/>
        <w:rPr>
          <w:rFonts w:ascii="Arial" w:hAnsi="Arial" w:cs="Arial"/>
          <w:sz w:val="23"/>
          <w:szCs w:val="23"/>
        </w:rPr>
      </w:pPr>
      <w:r w:rsidRPr="008B5201">
        <w:rPr>
          <w:rFonts w:ascii="Arial" w:hAnsi="Arial" w:cs="Arial"/>
          <w:b/>
          <w:sz w:val="23"/>
          <w:szCs w:val="23"/>
        </w:rPr>
        <w:t>Artículo</w:t>
      </w:r>
      <w:r w:rsidR="00CA0643">
        <w:rPr>
          <w:rFonts w:ascii="Arial" w:hAnsi="Arial" w:cs="Arial"/>
          <w:b/>
          <w:sz w:val="23"/>
          <w:szCs w:val="23"/>
        </w:rPr>
        <w:t xml:space="preserve"> 9</w:t>
      </w:r>
      <w:r w:rsidRPr="008B5201">
        <w:rPr>
          <w:rFonts w:ascii="Arial" w:hAnsi="Arial" w:cs="Arial"/>
          <w:b/>
          <w:sz w:val="23"/>
          <w:szCs w:val="23"/>
        </w:rPr>
        <w:t>.</w:t>
      </w:r>
      <w:r>
        <w:rPr>
          <w:rFonts w:ascii="Arial" w:hAnsi="Arial" w:cs="Arial"/>
          <w:b/>
          <w:sz w:val="23"/>
          <w:szCs w:val="23"/>
        </w:rPr>
        <w:t xml:space="preserve"> Calendario de ingresos</w:t>
      </w:r>
      <w:r w:rsidRPr="008B5201">
        <w:rPr>
          <w:rFonts w:ascii="Arial" w:hAnsi="Arial" w:cs="Arial"/>
          <w:sz w:val="23"/>
          <w:szCs w:val="23"/>
        </w:rPr>
        <w:t xml:space="preserve"> </w:t>
      </w:r>
    </w:p>
    <w:p w:rsidR="00B97D30" w:rsidRPr="00B97D30" w:rsidRDefault="00B97D30" w:rsidP="00B97D30">
      <w:pPr>
        <w:spacing w:before="100" w:beforeAutospacing="1" w:after="100" w:afterAutospacing="1" w:line="240" w:lineRule="auto"/>
        <w:jc w:val="both"/>
        <w:rPr>
          <w:rFonts w:ascii="Arial" w:eastAsiaTheme="minorEastAsia" w:hAnsi="Arial" w:cs="Arial"/>
          <w:sz w:val="24"/>
          <w:szCs w:val="24"/>
          <w:lang w:eastAsia="es-MX"/>
        </w:rPr>
      </w:pPr>
      <w:r w:rsidRPr="00B97D30">
        <w:rPr>
          <w:rFonts w:ascii="Arial" w:eastAsiaTheme="minorEastAsia" w:hAnsi="Arial" w:cs="Arial"/>
          <w:sz w:val="24"/>
          <w:szCs w:val="24"/>
          <w:lang w:eastAsia="es-MX"/>
        </w:rPr>
        <w:t>Los entes públicos que reciban ingresos de los señalad</w:t>
      </w:r>
      <w:r>
        <w:rPr>
          <w:rFonts w:ascii="Arial" w:eastAsiaTheme="minorEastAsia" w:hAnsi="Arial" w:cs="Arial"/>
          <w:sz w:val="24"/>
          <w:szCs w:val="24"/>
          <w:lang w:eastAsia="es-MX"/>
        </w:rPr>
        <w:t>os en el artículo 2 de esta l</w:t>
      </w:r>
      <w:r w:rsidRPr="00B97D30">
        <w:rPr>
          <w:rFonts w:ascii="Arial" w:eastAsiaTheme="minorEastAsia" w:hAnsi="Arial" w:cs="Arial"/>
          <w:sz w:val="24"/>
          <w:szCs w:val="24"/>
          <w:lang w:eastAsia="es-MX"/>
        </w:rPr>
        <w:t xml:space="preserve">ey deberán formular su calendario de ingresos con base mensual, en los formatos que determine el Consejo Nacional de Armonización Contable y remitirlo a la Secretaría de Administración y Finanzas durante los primeros veinte días de enero. </w:t>
      </w:r>
    </w:p>
    <w:p w:rsidR="00B97D30" w:rsidRDefault="00B97D30" w:rsidP="00B97D30">
      <w:pPr>
        <w:spacing w:before="100" w:beforeAutospacing="1" w:after="100" w:afterAutospacing="1" w:line="240" w:lineRule="auto"/>
        <w:jc w:val="both"/>
        <w:rPr>
          <w:rFonts w:ascii="Arial" w:eastAsiaTheme="minorEastAsia" w:hAnsi="Arial" w:cs="Arial"/>
          <w:sz w:val="24"/>
          <w:szCs w:val="24"/>
          <w:lang w:eastAsia="es-MX"/>
        </w:rPr>
      </w:pPr>
      <w:r w:rsidRPr="00B97D30">
        <w:rPr>
          <w:rFonts w:ascii="Arial" w:eastAsiaTheme="minorEastAsia" w:hAnsi="Arial" w:cs="Arial"/>
          <w:sz w:val="24"/>
          <w:szCs w:val="24"/>
          <w:lang w:eastAsia="es-MX"/>
        </w:rPr>
        <w:t xml:space="preserve">La Secretaría de Administración y Finanzas publicará, a más tardar el último día de enero, en su sitio web, el calendario de ingresos con base mensual a que se refiere el párrafo segundo del artículo 66 de la Ley General de Contabilidad Gubernamental. </w:t>
      </w:r>
    </w:p>
    <w:p w:rsidR="00570F6B" w:rsidRPr="009A3CEF" w:rsidRDefault="00570F6B" w:rsidP="00570F6B">
      <w:pPr>
        <w:spacing w:before="100" w:beforeAutospacing="1" w:after="100" w:afterAutospacing="1" w:line="240" w:lineRule="auto"/>
        <w:jc w:val="both"/>
        <w:rPr>
          <w:rFonts w:ascii="Arial" w:eastAsiaTheme="minorEastAsia" w:hAnsi="Arial" w:cs="Arial"/>
          <w:sz w:val="24"/>
          <w:szCs w:val="24"/>
          <w:lang w:eastAsia="es-MX"/>
        </w:rPr>
      </w:pPr>
      <w:r w:rsidRPr="00570F6B">
        <w:rPr>
          <w:rFonts w:ascii="Arial" w:hAnsi="Arial" w:cs="Arial"/>
          <w:b/>
          <w:sz w:val="24"/>
          <w:szCs w:val="24"/>
        </w:rPr>
        <w:t xml:space="preserve">Artículo </w:t>
      </w:r>
      <w:r w:rsidR="000E5ACF">
        <w:rPr>
          <w:rFonts w:ascii="Arial" w:hAnsi="Arial" w:cs="Arial"/>
          <w:b/>
          <w:sz w:val="24"/>
          <w:szCs w:val="24"/>
        </w:rPr>
        <w:t>10</w:t>
      </w:r>
      <w:r w:rsidRPr="00570F6B">
        <w:rPr>
          <w:rFonts w:ascii="Arial" w:hAnsi="Arial" w:cs="Arial"/>
          <w:b/>
          <w:sz w:val="24"/>
          <w:szCs w:val="24"/>
        </w:rPr>
        <w:t>. Aprovechamientos</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t xml:space="preserve">El Poder Ejecutivo del Estado, por conducto de la Secretaría de Administración y Finanzas, queda autorizado para fijar o modificar los aprovechamientos que se cobrarán durante el ejercicio fiscal 2019, incluso por el uso, goce, aprovechamiento o explotación de bienes sujetos al régimen de dominio público del Estado o por la prestación de servicios en el ejercicio de las funciones de derecho público, por los que no se establecen derechos o que por cualquier causa legal, no se paguen. </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lastRenderedPageBreak/>
        <w:t>Durante el ejercicio fiscal 2019, la Secretaría de Administración y Finanzas, mediante resoluciones de carácter particular, aprobará los montos de los aprovechamientos que cobren las dependencias de la Administración Pública Estatal, salvo cuando su determinación y cobro se encuentre</w:t>
      </w:r>
      <w:r>
        <w:rPr>
          <w:rFonts w:ascii="Arial" w:eastAsiaTheme="minorEastAsia" w:hAnsi="Arial" w:cs="Arial"/>
          <w:sz w:val="24"/>
          <w:szCs w:val="24"/>
          <w:lang w:eastAsia="es-MX"/>
        </w:rPr>
        <w:t>n</w:t>
      </w:r>
      <w:r w:rsidRPr="000E5ACF">
        <w:rPr>
          <w:rFonts w:ascii="Arial" w:eastAsiaTheme="minorEastAsia" w:hAnsi="Arial" w:cs="Arial"/>
          <w:sz w:val="24"/>
          <w:szCs w:val="24"/>
          <w:lang w:eastAsia="es-MX"/>
        </w:rPr>
        <w:t xml:space="preserve"> previsto</w:t>
      </w:r>
      <w:r>
        <w:rPr>
          <w:rFonts w:ascii="Arial" w:eastAsiaTheme="minorEastAsia" w:hAnsi="Arial" w:cs="Arial"/>
          <w:sz w:val="24"/>
          <w:szCs w:val="24"/>
          <w:lang w:eastAsia="es-MX"/>
        </w:rPr>
        <w:t>s</w:t>
      </w:r>
      <w:r w:rsidRPr="000E5ACF">
        <w:rPr>
          <w:rFonts w:ascii="Arial" w:eastAsiaTheme="minorEastAsia" w:hAnsi="Arial" w:cs="Arial"/>
          <w:sz w:val="24"/>
          <w:szCs w:val="24"/>
          <w:lang w:eastAsia="es-MX"/>
        </w:rPr>
        <w:t xml:space="preserve"> en otras leyes. </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F352E0">
        <w:rPr>
          <w:rFonts w:ascii="Arial" w:eastAsiaTheme="minorEastAsia" w:hAnsi="Arial" w:cs="Arial"/>
          <w:sz w:val="24"/>
          <w:szCs w:val="24"/>
          <w:lang w:eastAsia="es-MX"/>
        </w:rPr>
        <w:t>Las au</w:t>
      </w:r>
      <w:r w:rsidRPr="000E5ACF">
        <w:rPr>
          <w:rFonts w:ascii="Arial" w:eastAsiaTheme="minorEastAsia" w:hAnsi="Arial" w:cs="Arial"/>
          <w:sz w:val="24"/>
          <w:szCs w:val="24"/>
          <w:lang w:eastAsia="es-MX"/>
        </w:rPr>
        <w:t xml:space="preserve">torizaciones para fijar o modificar las cuotas de los aprovechamientos que otorgue la Secretaría de Administración y Finanzas durante el ejercicio fiscal </w:t>
      </w:r>
      <w:r w:rsidR="00F352E0">
        <w:rPr>
          <w:rFonts w:ascii="Arial" w:eastAsiaTheme="minorEastAsia" w:hAnsi="Arial" w:cs="Arial"/>
          <w:sz w:val="24"/>
          <w:szCs w:val="24"/>
          <w:lang w:eastAsia="es-MX"/>
        </w:rPr>
        <w:t>2019, so</w:t>
      </w:r>
      <w:r w:rsidRPr="000E5ACF">
        <w:rPr>
          <w:rFonts w:ascii="Arial" w:eastAsiaTheme="minorEastAsia" w:hAnsi="Arial" w:cs="Arial"/>
          <w:sz w:val="24"/>
          <w:szCs w:val="24"/>
          <w:lang w:eastAsia="es-MX"/>
        </w:rPr>
        <w:t>lo surtirán sus efectos para ese año.</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t>En tanto no sean autorizados los aprovechamientos a que se refiere este artíc</w:t>
      </w:r>
      <w:r w:rsidR="00F352E0">
        <w:rPr>
          <w:rFonts w:ascii="Arial" w:eastAsiaTheme="minorEastAsia" w:hAnsi="Arial" w:cs="Arial"/>
          <w:sz w:val="24"/>
          <w:szCs w:val="24"/>
          <w:lang w:eastAsia="es-MX"/>
        </w:rPr>
        <w:t xml:space="preserve">ulo para el ejercicio fiscal </w:t>
      </w:r>
      <w:r w:rsidRPr="000E5ACF">
        <w:rPr>
          <w:rFonts w:ascii="Arial" w:eastAsiaTheme="minorEastAsia" w:hAnsi="Arial" w:cs="Arial"/>
          <w:sz w:val="24"/>
          <w:szCs w:val="24"/>
          <w:lang w:eastAsia="es-MX"/>
        </w:rPr>
        <w:t>2019, se aplicarán los vigentes al 31 de diciembre de 2018.</w:t>
      </w:r>
    </w:p>
    <w:p w:rsidR="000E5ACF" w:rsidRPr="000E5ACF" w:rsidRDefault="000E5ACF" w:rsidP="000E5ACF">
      <w:pPr>
        <w:spacing w:before="100" w:beforeAutospacing="1" w:after="100" w:afterAutospacing="1" w:line="240" w:lineRule="auto"/>
        <w:jc w:val="both"/>
        <w:rPr>
          <w:rFonts w:ascii="Arial" w:eastAsiaTheme="minorEastAsia" w:hAnsi="Arial" w:cs="Arial"/>
          <w:sz w:val="24"/>
          <w:szCs w:val="24"/>
          <w:lang w:eastAsia="es-MX"/>
        </w:rPr>
      </w:pPr>
      <w:r w:rsidRPr="000E5ACF">
        <w:rPr>
          <w:rFonts w:ascii="Arial" w:eastAsiaTheme="minorEastAsia" w:hAnsi="Arial" w:cs="Arial"/>
          <w:sz w:val="24"/>
          <w:szCs w:val="24"/>
          <w:lang w:eastAsia="es-MX"/>
        </w:rPr>
        <w:t xml:space="preserve">En </w:t>
      </w:r>
      <w:r w:rsidR="00646E7F">
        <w:rPr>
          <w:rFonts w:ascii="Arial" w:eastAsiaTheme="minorEastAsia" w:hAnsi="Arial" w:cs="Arial"/>
          <w:sz w:val="24"/>
          <w:szCs w:val="24"/>
          <w:lang w:eastAsia="es-MX"/>
        </w:rPr>
        <w:t>relación con los aprovechamientos que</w:t>
      </w:r>
      <w:r w:rsidRPr="000E5ACF">
        <w:rPr>
          <w:rFonts w:ascii="Arial" w:eastAsiaTheme="minorEastAsia" w:hAnsi="Arial" w:cs="Arial"/>
          <w:sz w:val="24"/>
          <w:szCs w:val="24"/>
          <w:lang w:eastAsia="es-MX"/>
        </w:rPr>
        <w:t xml:space="preserve"> en </w:t>
      </w:r>
      <w:r w:rsidR="00646E7F">
        <w:rPr>
          <w:rFonts w:ascii="Arial" w:eastAsiaTheme="minorEastAsia" w:hAnsi="Arial" w:cs="Arial"/>
          <w:sz w:val="24"/>
          <w:szCs w:val="24"/>
          <w:lang w:eastAsia="es-MX"/>
        </w:rPr>
        <w:t>el ejercicio inmediato anterior</w:t>
      </w:r>
      <w:r w:rsidRPr="000E5ACF">
        <w:rPr>
          <w:rFonts w:ascii="Arial" w:eastAsiaTheme="minorEastAsia" w:hAnsi="Arial" w:cs="Arial"/>
          <w:sz w:val="24"/>
          <w:szCs w:val="24"/>
          <w:lang w:eastAsia="es-MX"/>
        </w:rPr>
        <w:t xml:space="preserve"> se hayan fijado en porcentajes, se continuarán aplicando durante el </w:t>
      </w:r>
      <w:r w:rsidR="00646E7F">
        <w:rPr>
          <w:rFonts w:ascii="Arial" w:eastAsiaTheme="minorEastAsia" w:hAnsi="Arial" w:cs="Arial"/>
          <w:sz w:val="24"/>
          <w:szCs w:val="24"/>
          <w:lang w:eastAsia="es-MX"/>
        </w:rPr>
        <w:t xml:space="preserve">ejercicio fiscal </w:t>
      </w:r>
      <w:r w:rsidRPr="000E5ACF">
        <w:rPr>
          <w:rFonts w:ascii="Arial" w:eastAsiaTheme="minorEastAsia" w:hAnsi="Arial" w:cs="Arial"/>
          <w:sz w:val="24"/>
          <w:szCs w:val="24"/>
          <w:lang w:eastAsia="es-MX"/>
        </w:rPr>
        <w:t xml:space="preserve">2019 los porcentajes autorizados por la Secretaría de Administración y Finanzas que se encuentren vigentes al 31 de diciembre </w:t>
      </w:r>
      <w:r w:rsidR="00646E7F">
        <w:rPr>
          <w:rFonts w:ascii="Arial" w:eastAsiaTheme="minorEastAsia" w:hAnsi="Arial" w:cs="Arial"/>
          <w:sz w:val="24"/>
          <w:szCs w:val="24"/>
          <w:lang w:eastAsia="es-MX"/>
        </w:rPr>
        <w:t>de 2018, hasta en tanto, esta s</w:t>
      </w:r>
      <w:r w:rsidRPr="000E5ACF">
        <w:rPr>
          <w:rFonts w:ascii="Arial" w:eastAsiaTheme="minorEastAsia" w:hAnsi="Arial" w:cs="Arial"/>
          <w:sz w:val="24"/>
          <w:szCs w:val="24"/>
          <w:lang w:eastAsia="es-MX"/>
        </w:rPr>
        <w:t>ecretaría no emita autorización para el 2019.</w:t>
      </w:r>
    </w:p>
    <w:p w:rsidR="000E5ACF" w:rsidRPr="000E5ACF" w:rsidRDefault="00136E3A" w:rsidP="000E5ACF">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En cuanto a los</w:t>
      </w:r>
      <w:r w:rsidR="000E5ACF" w:rsidRPr="000E5ACF">
        <w:rPr>
          <w:rFonts w:ascii="Arial" w:eastAsiaTheme="minorEastAsia" w:hAnsi="Arial" w:cs="Arial"/>
          <w:sz w:val="24"/>
          <w:szCs w:val="24"/>
          <w:lang w:eastAsia="es-MX"/>
        </w:rPr>
        <w:t xml:space="preserve"> aprovechamientos que no hayan sido cobrados en el ejercicio inmediato anterior o que no se cobren de manera regular, las dependencias interesadas deber</w:t>
      </w:r>
      <w:r>
        <w:rPr>
          <w:rFonts w:ascii="Arial" w:eastAsiaTheme="minorEastAsia" w:hAnsi="Arial" w:cs="Arial"/>
          <w:sz w:val="24"/>
          <w:szCs w:val="24"/>
          <w:lang w:eastAsia="es-MX"/>
        </w:rPr>
        <w:t>án someter para su autorización,</w:t>
      </w:r>
      <w:r w:rsidR="000E5ACF" w:rsidRPr="000E5ACF">
        <w:rPr>
          <w:rFonts w:ascii="Arial" w:eastAsiaTheme="minorEastAsia" w:hAnsi="Arial" w:cs="Arial"/>
          <w:sz w:val="24"/>
          <w:szCs w:val="24"/>
          <w:lang w:eastAsia="es-MX"/>
        </w:rPr>
        <w:t xml:space="preserve"> a la Secretar</w:t>
      </w:r>
      <w:r>
        <w:rPr>
          <w:rFonts w:ascii="Arial" w:eastAsiaTheme="minorEastAsia" w:hAnsi="Arial" w:cs="Arial"/>
          <w:sz w:val="24"/>
          <w:szCs w:val="24"/>
          <w:lang w:eastAsia="es-MX"/>
        </w:rPr>
        <w:t>ía de Administración y Finanzas</w:t>
      </w:r>
      <w:r w:rsidR="000E5ACF" w:rsidRPr="000E5ACF">
        <w:rPr>
          <w:rFonts w:ascii="Arial" w:eastAsiaTheme="minorEastAsia" w:hAnsi="Arial" w:cs="Arial"/>
          <w:sz w:val="24"/>
          <w:szCs w:val="24"/>
          <w:lang w:eastAsia="es-MX"/>
        </w:rPr>
        <w:t xml:space="preserve"> el monto de los aprovechamientos que pretendan cobrar, en un plazo no menor a </w:t>
      </w:r>
      <w:r>
        <w:rPr>
          <w:rFonts w:ascii="Arial" w:eastAsiaTheme="minorEastAsia" w:hAnsi="Arial" w:cs="Arial"/>
          <w:sz w:val="24"/>
          <w:szCs w:val="24"/>
          <w:lang w:eastAsia="es-MX"/>
        </w:rPr>
        <w:t>diez</w:t>
      </w:r>
      <w:r w:rsidR="000E5ACF" w:rsidRPr="000E5ACF">
        <w:rPr>
          <w:rFonts w:ascii="Arial" w:eastAsiaTheme="minorEastAsia" w:hAnsi="Arial" w:cs="Arial"/>
          <w:sz w:val="24"/>
          <w:szCs w:val="24"/>
          <w:lang w:eastAsia="es-MX"/>
        </w:rPr>
        <w:t xml:space="preserve"> días hábiles anteriores a la fecha de su entrada en vigor. </w:t>
      </w:r>
    </w:p>
    <w:p w:rsidR="0066226C" w:rsidRPr="009A3CEF"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11</w:t>
      </w:r>
      <w:r w:rsidRPr="009A3CEF">
        <w:rPr>
          <w:rFonts w:ascii="Arial" w:hAnsi="Arial" w:cs="Arial"/>
          <w:b/>
          <w:sz w:val="24"/>
          <w:szCs w:val="24"/>
        </w:rPr>
        <w:t xml:space="preserve">. </w:t>
      </w:r>
      <w:r w:rsidRPr="0066226C">
        <w:rPr>
          <w:rFonts w:ascii="Arial" w:hAnsi="Arial" w:cs="Arial"/>
          <w:b/>
          <w:sz w:val="24"/>
          <w:szCs w:val="24"/>
        </w:rPr>
        <w:t>Productos</w:t>
      </w:r>
    </w:p>
    <w:p w:rsid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El Poder Ejecutivo del estado, por conducto de la Secretaría de Administración y Finanzas, queda autorizado para fijar o modificar, mediante resoluciones de carácter particular, las cuotas de los productos que pretendan cobrar las dependencias durante el ejercicio fiscal </w:t>
      </w:r>
      <w:r>
        <w:rPr>
          <w:rFonts w:ascii="Arial" w:eastAsiaTheme="minorEastAsia" w:hAnsi="Arial" w:cs="Arial"/>
          <w:sz w:val="24"/>
          <w:szCs w:val="24"/>
          <w:lang w:eastAsia="es-MX"/>
        </w:rPr>
        <w:t>2019</w:t>
      </w:r>
      <w:r w:rsidRPr="009A3CEF">
        <w:rPr>
          <w:rFonts w:ascii="Arial" w:eastAsiaTheme="minorEastAsia" w:hAnsi="Arial" w:cs="Arial"/>
          <w:sz w:val="24"/>
          <w:szCs w:val="24"/>
          <w:lang w:eastAsia="es-MX"/>
        </w:rPr>
        <w:t>, aun cuando su cobro se encuentre previsto en otras leyes.</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 xml:space="preserve">Las autorizaciones para fijar o modificar las cuotas de los productos que otorgue la Secretaría de Administración y Finanzas durante el ejercicio fiscal </w:t>
      </w:r>
      <w:r w:rsidR="003C6342">
        <w:rPr>
          <w:rFonts w:ascii="Arial" w:eastAsiaTheme="minorEastAsia" w:hAnsi="Arial" w:cs="Arial"/>
          <w:sz w:val="24"/>
          <w:szCs w:val="24"/>
          <w:lang w:eastAsia="es-MX"/>
        </w:rPr>
        <w:t>2019, so</w:t>
      </w:r>
      <w:r w:rsidRPr="0066226C">
        <w:rPr>
          <w:rFonts w:ascii="Arial" w:eastAsiaTheme="minorEastAsia" w:hAnsi="Arial" w:cs="Arial"/>
          <w:sz w:val="24"/>
          <w:szCs w:val="24"/>
          <w:lang w:eastAsia="es-MX"/>
        </w:rPr>
        <w:t>lo surtirán sus efectos para ese año.</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Para los efectos del párrafo anterio</w:t>
      </w:r>
      <w:r w:rsidR="003C6342">
        <w:rPr>
          <w:rFonts w:ascii="Arial" w:eastAsiaTheme="minorEastAsia" w:hAnsi="Arial" w:cs="Arial"/>
          <w:sz w:val="24"/>
          <w:szCs w:val="24"/>
          <w:lang w:eastAsia="es-MX"/>
        </w:rPr>
        <w:t>r, las dependencias interesadas</w:t>
      </w:r>
      <w:r w:rsidRPr="0066226C">
        <w:rPr>
          <w:rFonts w:ascii="Arial" w:eastAsiaTheme="minorEastAsia" w:hAnsi="Arial" w:cs="Arial"/>
          <w:sz w:val="24"/>
          <w:szCs w:val="24"/>
          <w:lang w:eastAsia="es-MX"/>
        </w:rPr>
        <w:t xml:space="preserve"> estarán obligadas a someter para su autorización, los montos de los productos que se cobren de manera regular. Asimismo, los productos cuya autorización haya sido </w:t>
      </w:r>
      <w:r w:rsidRPr="0066226C">
        <w:rPr>
          <w:rFonts w:ascii="Arial" w:eastAsiaTheme="minorEastAsia" w:hAnsi="Arial" w:cs="Arial"/>
          <w:sz w:val="24"/>
          <w:szCs w:val="24"/>
          <w:lang w:eastAsia="es-MX"/>
        </w:rPr>
        <w:lastRenderedPageBreak/>
        <w:t>negada por la Secretar</w:t>
      </w:r>
      <w:r w:rsidR="003C6342">
        <w:rPr>
          <w:rFonts w:ascii="Arial" w:eastAsiaTheme="minorEastAsia" w:hAnsi="Arial" w:cs="Arial"/>
          <w:sz w:val="24"/>
          <w:szCs w:val="24"/>
          <w:lang w:eastAsia="es-MX"/>
        </w:rPr>
        <w:t>ía de Administración y Finanzas</w:t>
      </w:r>
      <w:r w:rsidRPr="0066226C">
        <w:rPr>
          <w:rFonts w:ascii="Arial" w:eastAsiaTheme="minorEastAsia" w:hAnsi="Arial" w:cs="Arial"/>
          <w:sz w:val="24"/>
          <w:szCs w:val="24"/>
          <w:lang w:eastAsia="es-MX"/>
        </w:rPr>
        <w:t xml:space="preserve"> no podrán ser cobrados por la dependencia de que se trate, a partir de la fecha en que surta efectos la notificación de la resolución respectiva. </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En tanto no sean autorizados los productos a que se refiere este artículo para el ejercicio fiscal de 2019, se aplicarán los vigentes al 31 de diciembre de 2018.</w:t>
      </w:r>
    </w:p>
    <w:p w:rsidR="0066226C" w:rsidRPr="0066226C" w:rsidRDefault="0066226C" w:rsidP="0066226C">
      <w:pPr>
        <w:spacing w:before="100" w:beforeAutospacing="1" w:after="100" w:afterAutospacing="1" w:line="240" w:lineRule="auto"/>
        <w:jc w:val="both"/>
        <w:rPr>
          <w:rFonts w:ascii="Arial" w:eastAsiaTheme="minorEastAsia" w:hAnsi="Arial" w:cs="Arial"/>
          <w:sz w:val="24"/>
          <w:szCs w:val="24"/>
          <w:lang w:eastAsia="es-MX"/>
        </w:rPr>
      </w:pPr>
      <w:r w:rsidRPr="0066226C">
        <w:rPr>
          <w:rFonts w:ascii="Arial" w:eastAsiaTheme="minorEastAsia" w:hAnsi="Arial" w:cs="Arial"/>
          <w:sz w:val="24"/>
          <w:szCs w:val="24"/>
          <w:lang w:eastAsia="es-MX"/>
        </w:rPr>
        <w:t xml:space="preserve">En </w:t>
      </w:r>
      <w:r w:rsidR="003C6342">
        <w:rPr>
          <w:rFonts w:ascii="Arial" w:eastAsiaTheme="minorEastAsia" w:hAnsi="Arial" w:cs="Arial"/>
          <w:sz w:val="24"/>
          <w:szCs w:val="24"/>
          <w:lang w:eastAsia="es-MX"/>
        </w:rPr>
        <w:t>relación a</w:t>
      </w:r>
      <w:r w:rsidRPr="0066226C">
        <w:rPr>
          <w:rFonts w:ascii="Arial" w:eastAsiaTheme="minorEastAsia" w:hAnsi="Arial" w:cs="Arial"/>
          <w:sz w:val="24"/>
          <w:szCs w:val="24"/>
          <w:lang w:eastAsia="es-MX"/>
        </w:rPr>
        <w:t xml:space="preserve"> los productos que, en el ejercicio inmediato anterior, se hayan fijado en porcentajes, se continuarán aplicando durante el </w:t>
      </w:r>
      <w:r w:rsidR="003C6342">
        <w:rPr>
          <w:rFonts w:ascii="Arial" w:eastAsiaTheme="minorEastAsia" w:hAnsi="Arial" w:cs="Arial"/>
          <w:sz w:val="24"/>
          <w:szCs w:val="24"/>
          <w:lang w:eastAsia="es-MX"/>
        </w:rPr>
        <w:t xml:space="preserve">ejercicio fiscal </w:t>
      </w:r>
      <w:r w:rsidRPr="0066226C">
        <w:rPr>
          <w:rFonts w:ascii="Arial" w:eastAsiaTheme="minorEastAsia" w:hAnsi="Arial" w:cs="Arial"/>
          <w:sz w:val="24"/>
          <w:szCs w:val="24"/>
          <w:lang w:eastAsia="es-MX"/>
        </w:rPr>
        <w:t xml:space="preserve">2019 los porcentajes autorizados por la Secretaría de Administración y Finanzas que se encuentren vigentes al 31 de diciembre </w:t>
      </w:r>
      <w:r w:rsidR="003C6342">
        <w:rPr>
          <w:rFonts w:ascii="Arial" w:eastAsiaTheme="minorEastAsia" w:hAnsi="Arial" w:cs="Arial"/>
          <w:sz w:val="24"/>
          <w:szCs w:val="24"/>
          <w:lang w:eastAsia="es-MX"/>
        </w:rPr>
        <w:t>de 2018, hasta en tanto, dicha s</w:t>
      </w:r>
      <w:r w:rsidRPr="0066226C">
        <w:rPr>
          <w:rFonts w:ascii="Arial" w:eastAsiaTheme="minorEastAsia" w:hAnsi="Arial" w:cs="Arial"/>
          <w:sz w:val="24"/>
          <w:szCs w:val="24"/>
          <w:lang w:eastAsia="es-MX"/>
        </w:rPr>
        <w:t>ecretaría no emita autorización para el 2019.</w:t>
      </w:r>
    </w:p>
    <w:p w:rsidR="0066226C" w:rsidRDefault="003C6342" w:rsidP="0066226C">
      <w:pPr>
        <w:spacing w:before="100" w:beforeAutospacing="1" w:after="100" w:afterAutospacing="1" w:line="240"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En cuanto a los</w:t>
      </w:r>
      <w:r w:rsidR="0066226C" w:rsidRPr="0066226C">
        <w:rPr>
          <w:rFonts w:ascii="Arial" w:eastAsiaTheme="minorEastAsia" w:hAnsi="Arial" w:cs="Arial"/>
          <w:sz w:val="24"/>
          <w:szCs w:val="24"/>
          <w:lang w:eastAsia="es-MX"/>
        </w:rPr>
        <w:t xml:space="preserve">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w:t>
      </w:r>
      <w:r>
        <w:rPr>
          <w:rFonts w:ascii="Arial" w:eastAsiaTheme="minorEastAsia" w:hAnsi="Arial" w:cs="Arial"/>
          <w:sz w:val="24"/>
          <w:szCs w:val="24"/>
          <w:lang w:eastAsia="es-MX"/>
        </w:rPr>
        <w:t>diez</w:t>
      </w:r>
      <w:r w:rsidR="0066226C" w:rsidRPr="0066226C">
        <w:rPr>
          <w:rFonts w:ascii="Arial" w:eastAsiaTheme="minorEastAsia" w:hAnsi="Arial" w:cs="Arial"/>
          <w:sz w:val="24"/>
          <w:szCs w:val="24"/>
          <w:lang w:eastAsia="es-MX"/>
        </w:rPr>
        <w:t xml:space="preserve"> días hábiles anteriores a la fecha de su entrada en vigor. </w:t>
      </w:r>
    </w:p>
    <w:p w:rsidR="00BB75CA" w:rsidRPr="009A3CEF"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w:t>
      </w:r>
      <w:r>
        <w:rPr>
          <w:rFonts w:ascii="Arial" w:hAnsi="Arial" w:cs="Arial"/>
          <w:b/>
          <w:sz w:val="24"/>
          <w:szCs w:val="24"/>
        </w:rPr>
        <w:t>2</w:t>
      </w:r>
      <w:r w:rsidRPr="009A3CEF">
        <w:rPr>
          <w:rFonts w:ascii="Arial" w:hAnsi="Arial" w:cs="Arial"/>
          <w:b/>
          <w:sz w:val="24"/>
          <w:szCs w:val="24"/>
        </w:rPr>
        <w:t>. Contribuciones no determinadas</w:t>
      </w:r>
    </w:p>
    <w:p w:rsidR="00BB75CA"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No podrá cobrarse ninguna contribución que no esté determinada expresamente en disposiciones legales.</w:t>
      </w:r>
    </w:p>
    <w:p w:rsidR="00BB75CA" w:rsidRPr="009A3CEF"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Pr>
          <w:rFonts w:ascii="Arial" w:hAnsi="Arial" w:cs="Arial"/>
          <w:b/>
          <w:sz w:val="24"/>
          <w:szCs w:val="24"/>
        </w:rPr>
        <w:t>Artículo 13</w:t>
      </w:r>
      <w:r w:rsidRPr="009A3CEF">
        <w:rPr>
          <w:rFonts w:ascii="Arial" w:hAnsi="Arial" w:cs="Arial"/>
          <w:b/>
          <w:sz w:val="24"/>
          <w:szCs w:val="24"/>
        </w:rPr>
        <w:t>. Convenios celebrados con el Gobierno federal</w:t>
      </w:r>
    </w:p>
    <w:p w:rsidR="00BB75CA" w:rsidRDefault="00BB75CA" w:rsidP="00BB75CA">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Las dependencias y entidades que celebren contratos o convenios con el Gobierno federal, los cuales impliquen ingresos para la Hacienda pública estatal, deberán remitir copia de dichos instrumentos legales a la Secretaría de Administración y Finanzas, </w:t>
      </w:r>
      <w:r w:rsidRPr="008B5201">
        <w:rPr>
          <w:rFonts w:ascii="Arial" w:hAnsi="Arial" w:cs="Arial"/>
          <w:sz w:val="23"/>
          <w:szCs w:val="23"/>
        </w:rPr>
        <w:t>dentro de</w:t>
      </w:r>
      <w:r>
        <w:rPr>
          <w:rFonts w:ascii="Arial" w:hAnsi="Arial" w:cs="Arial"/>
          <w:sz w:val="23"/>
          <w:szCs w:val="23"/>
        </w:rPr>
        <w:t>l plazo de diez</w:t>
      </w:r>
      <w:r w:rsidRPr="008B5201">
        <w:rPr>
          <w:rFonts w:ascii="Arial" w:hAnsi="Arial" w:cs="Arial"/>
          <w:sz w:val="23"/>
          <w:szCs w:val="23"/>
        </w:rPr>
        <w:t xml:space="preserve"> días hábiles siguientes a su suscripción, </w:t>
      </w:r>
      <w:r w:rsidRPr="009A3CEF">
        <w:rPr>
          <w:rFonts w:ascii="Arial" w:eastAsiaTheme="minorEastAsia" w:hAnsi="Arial" w:cs="Arial"/>
          <w:sz w:val="24"/>
          <w:szCs w:val="24"/>
          <w:lang w:eastAsia="es-MX"/>
        </w:rPr>
        <w:t>para efectos de conocer los montos de los ingresos que serán depositados a las cuentas de esta secretaría.</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Pr>
          <w:rFonts w:ascii="Arial" w:hAnsi="Arial" w:cs="Arial"/>
          <w:b/>
          <w:sz w:val="24"/>
          <w:szCs w:val="24"/>
        </w:rPr>
        <w:t>Artículo 14</w:t>
      </w:r>
      <w:r w:rsidRPr="009A3CEF">
        <w:rPr>
          <w:rFonts w:ascii="Arial" w:hAnsi="Arial" w:cs="Arial"/>
          <w:b/>
          <w:sz w:val="24"/>
          <w:szCs w:val="24"/>
        </w:rPr>
        <w:t xml:space="preserve">. Convenios </w:t>
      </w:r>
      <w:r>
        <w:rPr>
          <w:rFonts w:ascii="Arial" w:hAnsi="Arial" w:cs="Arial"/>
          <w:b/>
          <w:sz w:val="24"/>
          <w:szCs w:val="24"/>
        </w:rPr>
        <w:t>de colaboración administrativa</w:t>
      </w:r>
    </w:p>
    <w:p w:rsidR="00276D09" w:rsidRPr="00276D09"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276D09">
        <w:rPr>
          <w:rFonts w:ascii="Arial" w:eastAsiaTheme="minorEastAsia" w:hAnsi="Arial" w:cs="Arial"/>
          <w:sz w:val="24"/>
          <w:szCs w:val="24"/>
          <w:lang w:eastAsia="es-MX"/>
        </w:rPr>
        <w:t xml:space="preserve">Se faculta a la Secretaría de Administración y Finanzas para que por conducto de la Agencia de Administración Fiscal de Yucatán celebre convenios de colaboración administrativa con </w:t>
      </w:r>
      <w:r>
        <w:rPr>
          <w:rFonts w:ascii="Arial" w:eastAsiaTheme="minorEastAsia" w:hAnsi="Arial" w:cs="Arial"/>
          <w:sz w:val="24"/>
          <w:szCs w:val="24"/>
          <w:lang w:eastAsia="es-MX"/>
        </w:rPr>
        <w:t>e</w:t>
      </w:r>
      <w:r w:rsidRPr="00276D09">
        <w:rPr>
          <w:rFonts w:ascii="Arial" w:eastAsiaTheme="minorEastAsia" w:hAnsi="Arial" w:cs="Arial"/>
          <w:sz w:val="24"/>
          <w:szCs w:val="24"/>
          <w:lang w:eastAsia="es-MX"/>
        </w:rPr>
        <w:t xml:space="preserve">ntidades de la Administración Pública </w:t>
      </w:r>
      <w:r>
        <w:rPr>
          <w:rFonts w:ascii="Arial" w:eastAsiaTheme="minorEastAsia" w:hAnsi="Arial" w:cs="Arial"/>
          <w:sz w:val="24"/>
          <w:szCs w:val="24"/>
          <w:lang w:eastAsia="es-MX"/>
        </w:rPr>
        <w:t>p</w:t>
      </w:r>
      <w:r w:rsidRPr="00276D09">
        <w:rPr>
          <w:rFonts w:ascii="Arial" w:eastAsiaTheme="minorEastAsia" w:hAnsi="Arial" w:cs="Arial"/>
          <w:sz w:val="24"/>
          <w:szCs w:val="24"/>
          <w:lang w:eastAsia="es-MX"/>
        </w:rPr>
        <w:t>araestatal</w:t>
      </w:r>
      <w:r>
        <w:rPr>
          <w:rFonts w:ascii="Arial" w:eastAsiaTheme="minorEastAsia" w:hAnsi="Arial" w:cs="Arial"/>
          <w:sz w:val="24"/>
          <w:szCs w:val="24"/>
          <w:lang w:eastAsia="es-MX"/>
        </w:rPr>
        <w:t>, respecto a la recaudación de sus i</w:t>
      </w:r>
      <w:r w:rsidRPr="00276D09">
        <w:rPr>
          <w:rFonts w:ascii="Arial" w:eastAsiaTheme="minorEastAsia" w:hAnsi="Arial" w:cs="Arial"/>
          <w:sz w:val="24"/>
          <w:szCs w:val="24"/>
          <w:lang w:eastAsia="es-MX"/>
        </w:rPr>
        <w:t>ngresos.</w:t>
      </w:r>
    </w:p>
    <w:p w:rsidR="00787BBA" w:rsidRPr="009A3CEF" w:rsidRDefault="00787BBA" w:rsidP="00787BBA">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 xml:space="preserve">Artículo </w:t>
      </w:r>
      <w:r>
        <w:rPr>
          <w:rFonts w:ascii="Arial" w:hAnsi="Arial" w:cs="Arial"/>
          <w:b/>
          <w:sz w:val="24"/>
          <w:szCs w:val="24"/>
        </w:rPr>
        <w:t>1</w:t>
      </w:r>
      <w:r w:rsidR="00276D09">
        <w:rPr>
          <w:rFonts w:ascii="Arial" w:hAnsi="Arial" w:cs="Arial"/>
          <w:b/>
          <w:sz w:val="24"/>
          <w:szCs w:val="24"/>
        </w:rPr>
        <w:t>5</w:t>
      </w:r>
      <w:r w:rsidRPr="009A3CEF">
        <w:rPr>
          <w:rFonts w:ascii="Arial" w:hAnsi="Arial" w:cs="Arial"/>
          <w:b/>
          <w:sz w:val="24"/>
          <w:szCs w:val="24"/>
        </w:rPr>
        <w:t>. Ingresos obtenidos de multas por infracciones fiscales</w:t>
      </w:r>
    </w:p>
    <w:p w:rsidR="00787BBA" w:rsidRPr="009A3CEF" w:rsidRDefault="00787BBA" w:rsidP="00787BBA">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lastRenderedPageBreak/>
        <w:t>Para efectos de lo establecido por el artículo 20, fracción III, de la Ley de la Agencia de Administración Fiscal de Yucatán, los ingresos que el estado obtenga efectivamente de multas por infracción a las disposiciones fiscales, se destinarán a la formación de fondos para el otorgamiento de estímulos por productividad y cumplimiento del personal de dicho órgano fiscal.</w:t>
      </w:r>
    </w:p>
    <w:p w:rsidR="00787BBA" w:rsidRDefault="00787BBA" w:rsidP="00BB75CA">
      <w:pPr>
        <w:spacing w:before="100" w:beforeAutospacing="1" w:after="100" w:afterAutospacing="1" w:line="240" w:lineRule="auto"/>
        <w:jc w:val="both"/>
        <w:rPr>
          <w:rFonts w:ascii="Arial" w:hAnsi="Arial" w:cs="Arial"/>
          <w:b/>
          <w:sz w:val="23"/>
          <w:szCs w:val="23"/>
        </w:rPr>
      </w:pPr>
      <w:r w:rsidRPr="009A3CEF">
        <w:rPr>
          <w:rFonts w:ascii="Arial" w:hAnsi="Arial" w:cs="Arial"/>
          <w:b/>
          <w:sz w:val="24"/>
          <w:szCs w:val="24"/>
        </w:rPr>
        <w:t xml:space="preserve">Artículo </w:t>
      </w:r>
      <w:r>
        <w:rPr>
          <w:rFonts w:ascii="Arial" w:hAnsi="Arial" w:cs="Arial"/>
          <w:b/>
          <w:sz w:val="24"/>
          <w:szCs w:val="24"/>
        </w:rPr>
        <w:t>1</w:t>
      </w:r>
      <w:r w:rsidR="00276D09">
        <w:rPr>
          <w:rFonts w:ascii="Arial" w:hAnsi="Arial" w:cs="Arial"/>
          <w:b/>
          <w:sz w:val="24"/>
          <w:szCs w:val="24"/>
        </w:rPr>
        <w:t>6</w:t>
      </w:r>
      <w:r w:rsidRPr="009A3CEF">
        <w:rPr>
          <w:rFonts w:ascii="Arial" w:hAnsi="Arial" w:cs="Arial"/>
          <w:b/>
          <w:sz w:val="24"/>
          <w:szCs w:val="24"/>
        </w:rPr>
        <w:t xml:space="preserve">. Ingresos </w:t>
      </w:r>
      <w:r>
        <w:rPr>
          <w:rFonts w:ascii="Arial" w:hAnsi="Arial" w:cs="Arial"/>
          <w:b/>
          <w:sz w:val="24"/>
          <w:szCs w:val="24"/>
        </w:rPr>
        <w:t>acumulados excedentes</w:t>
      </w:r>
      <w:r w:rsidRPr="008B5201">
        <w:rPr>
          <w:rFonts w:ascii="Arial" w:hAnsi="Arial" w:cs="Arial"/>
          <w:b/>
          <w:sz w:val="23"/>
          <w:szCs w:val="23"/>
        </w:rPr>
        <w:t xml:space="preserve"> </w:t>
      </w:r>
    </w:p>
    <w:p w:rsidR="003026D3" w:rsidRPr="003026D3" w:rsidRDefault="00787BBA" w:rsidP="003026D3">
      <w:pPr>
        <w:spacing w:before="100" w:beforeAutospacing="1" w:after="100" w:afterAutospacing="1" w:line="240" w:lineRule="auto"/>
        <w:jc w:val="both"/>
        <w:rPr>
          <w:rFonts w:ascii="Arial" w:hAnsi="Arial" w:cs="Arial"/>
          <w:sz w:val="24"/>
          <w:szCs w:val="24"/>
        </w:rPr>
      </w:pPr>
      <w:r w:rsidRPr="003026D3">
        <w:rPr>
          <w:rFonts w:ascii="Arial" w:hAnsi="Arial" w:cs="Arial"/>
          <w:sz w:val="24"/>
          <w:szCs w:val="24"/>
        </w:rPr>
        <w:t xml:space="preserve">Los ingresos acumulados </w:t>
      </w:r>
      <w:r w:rsidR="003026D3" w:rsidRPr="003026D3">
        <w:rPr>
          <w:rFonts w:ascii="Arial" w:hAnsi="Arial" w:cs="Arial"/>
          <w:sz w:val="24"/>
          <w:szCs w:val="24"/>
        </w:rPr>
        <w:t>de</w:t>
      </w:r>
      <w:r w:rsidRPr="003026D3">
        <w:rPr>
          <w:rFonts w:ascii="Arial" w:hAnsi="Arial" w:cs="Arial"/>
          <w:sz w:val="24"/>
          <w:szCs w:val="24"/>
        </w:rPr>
        <w:t xml:space="preserve"> </w:t>
      </w:r>
      <w:r w:rsidR="003026D3" w:rsidRPr="003026D3">
        <w:rPr>
          <w:rFonts w:ascii="Arial" w:hAnsi="Arial" w:cs="Arial"/>
          <w:sz w:val="24"/>
          <w:szCs w:val="24"/>
        </w:rPr>
        <w:t xml:space="preserve">los poderes Legislativo y Judicial, los órganos autónomos por disposición constitucional, las dependencias del Ejecutivo estatal y sus órganos administrativos desconcentrados, así como las entidades, que se </w:t>
      </w:r>
      <w:r w:rsidRPr="003026D3">
        <w:rPr>
          <w:rFonts w:ascii="Arial" w:hAnsi="Arial" w:cs="Arial"/>
          <w:sz w:val="24"/>
          <w:szCs w:val="24"/>
        </w:rPr>
        <w:t>obtengan en exceso a los previstos en el calendario de ingresos que publique la Secretaría de Administración y Finanzas de los ingresos contemplados en el art</w:t>
      </w:r>
      <w:r w:rsidR="003026D3" w:rsidRPr="003026D3">
        <w:rPr>
          <w:rFonts w:ascii="Arial" w:hAnsi="Arial" w:cs="Arial"/>
          <w:sz w:val="24"/>
          <w:szCs w:val="24"/>
        </w:rPr>
        <w:t>ículo 2 de esta l</w:t>
      </w:r>
      <w:r w:rsidRPr="003026D3">
        <w:rPr>
          <w:rFonts w:ascii="Arial" w:hAnsi="Arial" w:cs="Arial"/>
          <w:sz w:val="24"/>
          <w:szCs w:val="24"/>
        </w:rPr>
        <w:t xml:space="preserve">ey, se deberán aplicar en los términos de la Ley de Presupuesto y Contabilidad Gubernamental del Estado de Yucatán, su </w:t>
      </w:r>
      <w:r w:rsidR="003026D3" w:rsidRPr="003026D3">
        <w:rPr>
          <w:rFonts w:ascii="Arial" w:hAnsi="Arial" w:cs="Arial"/>
          <w:sz w:val="24"/>
          <w:szCs w:val="24"/>
        </w:rPr>
        <w:t>r</w:t>
      </w:r>
      <w:r w:rsidRPr="003026D3">
        <w:rPr>
          <w:rFonts w:ascii="Arial" w:hAnsi="Arial" w:cs="Arial"/>
          <w:sz w:val="24"/>
          <w:szCs w:val="24"/>
        </w:rPr>
        <w:t>eglamento y la Ley de Disciplina Financiera de las</w:t>
      </w:r>
      <w:r w:rsidR="003026D3" w:rsidRPr="003026D3">
        <w:rPr>
          <w:rFonts w:ascii="Arial" w:hAnsi="Arial" w:cs="Arial"/>
          <w:sz w:val="24"/>
          <w:szCs w:val="24"/>
        </w:rPr>
        <w:t xml:space="preserve"> Entidades Federativas, sin perjuicio de lo dispuesto en el artículo 8 de esta Ley.</w:t>
      </w:r>
    </w:p>
    <w:p w:rsidR="003026D3" w:rsidRPr="009A3CEF" w:rsidRDefault="003026D3" w:rsidP="003026D3">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Artículo 1</w:t>
      </w:r>
      <w:r w:rsidR="00276D09">
        <w:rPr>
          <w:rFonts w:ascii="Arial" w:hAnsi="Arial" w:cs="Arial"/>
          <w:b/>
          <w:sz w:val="24"/>
          <w:szCs w:val="24"/>
        </w:rPr>
        <w:t>7</w:t>
      </w:r>
      <w:r w:rsidRPr="009A3CEF">
        <w:rPr>
          <w:rFonts w:ascii="Arial" w:hAnsi="Arial" w:cs="Arial"/>
          <w:b/>
          <w:sz w:val="24"/>
          <w:szCs w:val="24"/>
        </w:rPr>
        <w:t>. Distribución de participaciones federales a los municipios</w:t>
      </w:r>
    </w:p>
    <w:p w:rsidR="003026D3" w:rsidRPr="009A3CEF" w:rsidRDefault="003026D3" w:rsidP="003026D3">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efectos de lo previsto en el artículo 115, fracción IV, inciso b), de la Constitución Política de los Estados Unidos Mexicanos, las bases, montos y plazos para la distribución de participaciones federales a los municipios del estado, son a las que se refiere el capítulo II de la Ley de Coordinación Fiscal del Estado de Yucatán.</w:t>
      </w:r>
    </w:p>
    <w:p w:rsidR="003026D3" w:rsidRPr="009A3CEF" w:rsidRDefault="00DC0640" w:rsidP="003026D3">
      <w:pPr>
        <w:spacing w:before="100" w:beforeAutospacing="1" w:after="100" w:afterAutospacing="1" w:line="240" w:lineRule="auto"/>
        <w:jc w:val="both"/>
        <w:rPr>
          <w:rFonts w:ascii="Arial" w:hAnsi="Arial" w:cs="Arial"/>
          <w:sz w:val="24"/>
          <w:szCs w:val="24"/>
        </w:rPr>
      </w:pPr>
      <w:r>
        <w:rPr>
          <w:rFonts w:ascii="Arial" w:hAnsi="Arial" w:cs="Arial"/>
          <w:b/>
          <w:sz w:val="24"/>
          <w:szCs w:val="24"/>
        </w:rPr>
        <w:t>Artículo 1</w:t>
      </w:r>
      <w:r w:rsidR="00276D09">
        <w:rPr>
          <w:rFonts w:ascii="Arial" w:hAnsi="Arial" w:cs="Arial"/>
          <w:b/>
          <w:sz w:val="24"/>
          <w:szCs w:val="24"/>
        </w:rPr>
        <w:t>8</w:t>
      </w:r>
      <w:r w:rsidR="003026D3" w:rsidRPr="009A3CEF">
        <w:rPr>
          <w:rFonts w:ascii="Arial" w:hAnsi="Arial" w:cs="Arial"/>
          <w:b/>
          <w:sz w:val="24"/>
          <w:szCs w:val="24"/>
        </w:rPr>
        <w:t>. Sujetos obligados a pagar contribuciones</w:t>
      </w:r>
    </w:p>
    <w:p w:rsidR="003026D3" w:rsidRPr="009A3CEF" w:rsidRDefault="003026D3" w:rsidP="003026D3">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su norma de creación, de la Constitución Política de los Estados Unidos Mexicanos o de la Constitución Política del Estado de Yucatán, quedan obligados a pagar contribuciones, salvo que las leyes fiscales estatales los eximan expresamente.</w:t>
      </w:r>
    </w:p>
    <w:p w:rsidR="00CD4198" w:rsidRDefault="00CD4198" w:rsidP="00CD4198">
      <w:pPr>
        <w:spacing w:before="100" w:beforeAutospacing="1" w:after="100" w:afterAutospacing="1" w:line="240" w:lineRule="auto"/>
        <w:jc w:val="center"/>
        <w:rPr>
          <w:rFonts w:ascii="Arial" w:eastAsiaTheme="minorEastAsia" w:hAnsi="Arial" w:cs="Arial"/>
          <w:b/>
          <w:sz w:val="24"/>
          <w:szCs w:val="24"/>
          <w:lang w:eastAsia="es-MX"/>
        </w:rPr>
      </w:pPr>
      <w:r w:rsidRPr="009A3CEF">
        <w:rPr>
          <w:rFonts w:ascii="Arial" w:eastAsiaTheme="minorEastAsia" w:hAnsi="Arial" w:cs="Arial"/>
          <w:b/>
          <w:sz w:val="24"/>
          <w:szCs w:val="24"/>
          <w:lang w:eastAsia="es-MX"/>
        </w:rPr>
        <w:t>Capítulo II</w:t>
      </w:r>
      <w:r w:rsidRPr="009A3CEF">
        <w:rPr>
          <w:rFonts w:ascii="Arial" w:eastAsiaTheme="minorEastAsia" w:hAnsi="Arial" w:cs="Arial"/>
          <w:b/>
          <w:sz w:val="24"/>
          <w:szCs w:val="24"/>
          <w:lang w:eastAsia="es-MX"/>
        </w:rPr>
        <w:br/>
        <w:t>Facilidades a los contribuyentes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lastRenderedPageBreak/>
        <w:t>Artículo 1</w:t>
      </w:r>
      <w:r>
        <w:rPr>
          <w:rFonts w:ascii="Arial" w:hAnsi="Arial" w:cs="Arial"/>
          <w:b/>
          <w:sz w:val="24"/>
          <w:szCs w:val="24"/>
        </w:rPr>
        <w:t>9</w:t>
      </w:r>
      <w:r w:rsidRPr="009A3CEF">
        <w:rPr>
          <w:rFonts w:ascii="Arial" w:hAnsi="Arial" w:cs="Arial"/>
          <w:b/>
          <w:sz w:val="24"/>
          <w:szCs w:val="24"/>
        </w:rPr>
        <w:t>. Inscripción al Registro Federal de Contribuyentes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20</w:t>
      </w:r>
      <w:r w:rsidRPr="009A3CEF">
        <w:rPr>
          <w:rFonts w:ascii="Arial" w:hAnsi="Arial" w:cs="Arial"/>
          <w:b/>
          <w:sz w:val="24"/>
          <w:szCs w:val="24"/>
        </w:rPr>
        <w:t>. Medios de pago</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los efectos del artículo 29, párrafos primero y segundo, del Código Fiscal del Estado de Yucatán, las tarjetas de crédito o débito emitidas por las instituciones de crédito autorizadas, se aceptarán como medio de pago de contribuciones, aprovechamientos</w:t>
      </w:r>
      <w:r>
        <w:rPr>
          <w:rFonts w:ascii="Arial" w:eastAsiaTheme="minorEastAsia" w:hAnsi="Arial" w:cs="Arial"/>
          <w:sz w:val="24"/>
          <w:szCs w:val="24"/>
          <w:lang w:eastAsia="es-MX"/>
        </w:rPr>
        <w:t xml:space="preserve"> y sus accesorios</w:t>
      </w:r>
      <w:r w:rsidRPr="009A3CEF">
        <w:rPr>
          <w:rFonts w:ascii="Arial" w:eastAsiaTheme="minorEastAsia" w:hAnsi="Arial" w:cs="Arial"/>
          <w:sz w:val="24"/>
          <w:szCs w:val="24"/>
          <w:lang w:eastAsia="es-MX"/>
        </w:rPr>
        <w:t>.</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21</w:t>
      </w:r>
      <w:r w:rsidRPr="009A3CEF">
        <w:rPr>
          <w:rFonts w:ascii="Arial" w:hAnsi="Arial" w:cs="Arial"/>
          <w:b/>
          <w:sz w:val="24"/>
          <w:szCs w:val="24"/>
        </w:rPr>
        <w:t>. Tasa de recargos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hAnsi="Arial" w:cs="Arial"/>
          <w:b/>
          <w:sz w:val="24"/>
          <w:szCs w:val="24"/>
        </w:rPr>
        <w:t xml:space="preserve">Artículo </w:t>
      </w:r>
      <w:r>
        <w:rPr>
          <w:rFonts w:ascii="Arial" w:hAnsi="Arial" w:cs="Arial"/>
          <w:b/>
          <w:sz w:val="24"/>
          <w:szCs w:val="24"/>
        </w:rPr>
        <w:t>22</w:t>
      </w:r>
      <w:r w:rsidRPr="009A3CEF">
        <w:rPr>
          <w:rFonts w:ascii="Arial" w:hAnsi="Arial" w:cs="Arial"/>
          <w:b/>
          <w:sz w:val="24"/>
          <w:szCs w:val="24"/>
        </w:rPr>
        <w:t>. Recargos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En los casos de prórroga para el pago de créditos fiscales se causarán recargos:</w:t>
      </w:r>
    </w:p>
    <w:p w:rsidR="00276D09" w:rsidRPr="009A3CEF" w:rsidRDefault="00276D09" w:rsidP="00276D09">
      <w:pPr>
        <w:spacing w:before="100" w:beforeAutospacing="1" w:after="100" w:afterAutospacing="1" w:line="240" w:lineRule="auto"/>
        <w:ind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I. Al 0.</w:t>
      </w:r>
      <w:r>
        <w:rPr>
          <w:rFonts w:ascii="Arial" w:eastAsiaTheme="minorEastAsia" w:hAnsi="Arial" w:cs="Arial"/>
          <w:sz w:val="24"/>
          <w:szCs w:val="24"/>
          <w:lang w:eastAsia="es-MX"/>
        </w:rPr>
        <w:t>98</w:t>
      </w:r>
      <w:r w:rsidRPr="009A3CEF">
        <w:rPr>
          <w:rFonts w:ascii="Arial" w:eastAsiaTheme="minorEastAsia" w:hAnsi="Arial" w:cs="Arial"/>
          <w:sz w:val="24"/>
          <w:szCs w:val="24"/>
          <w:lang w:eastAsia="es-MX"/>
        </w:rPr>
        <w:t>% mensual sobre los saldos insolutos.</w:t>
      </w:r>
    </w:p>
    <w:p w:rsidR="00276D09" w:rsidRPr="009A3CEF" w:rsidRDefault="00276D09" w:rsidP="00276D09">
      <w:pPr>
        <w:spacing w:before="100" w:beforeAutospacing="1" w:after="100" w:afterAutospacing="1" w:line="240" w:lineRule="auto"/>
        <w:ind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II. Cuando el Código Fiscal del Estado de Yucatán permita que la tasa de recargos por prórroga incluya actualización, se aplicará sobre los saldos las siguientes tasas, durante los períodos que a continuación se señalan:</w:t>
      </w:r>
    </w:p>
    <w:p w:rsidR="00276D09" w:rsidRPr="009A3CEF" w:rsidRDefault="00276D09" w:rsidP="00276D09">
      <w:pPr>
        <w:spacing w:before="100" w:beforeAutospacing="1" w:after="100" w:afterAutospacing="1" w:line="240" w:lineRule="auto"/>
        <w:ind w:left="709"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a) Tratándose de pagos a plazos en parcialidades hasta doce meses, la tasa de recargos será del 1</w:t>
      </w:r>
      <w:r>
        <w:rPr>
          <w:rFonts w:ascii="Arial" w:eastAsiaTheme="minorEastAsia" w:hAnsi="Arial" w:cs="Arial"/>
          <w:sz w:val="24"/>
          <w:szCs w:val="24"/>
          <w:lang w:eastAsia="es-MX"/>
        </w:rPr>
        <w:t>.26</w:t>
      </w:r>
      <w:r w:rsidRPr="009A3CEF">
        <w:rPr>
          <w:rFonts w:ascii="Arial" w:eastAsiaTheme="minorEastAsia" w:hAnsi="Arial" w:cs="Arial"/>
          <w:sz w:val="24"/>
          <w:szCs w:val="24"/>
          <w:lang w:eastAsia="es-MX"/>
        </w:rPr>
        <w:t>% mensual.</w:t>
      </w:r>
    </w:p>
    <w:p w:rsidR="00276D09" w:rsidRPr="009A3CEF" w:rsidRDefault="00276D09" w:rsidP="00276D09">
      <w:pPr>
        <w:spacing w:before="100" w:beforeAutospacing="1" w:after="100" w:afterAutospacing="1" w:line="240" w:lineRule="auto"/>
        <w:ind w:left="709" w:firstLine="709"/>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b) Tratándose de pagos a plazos en parcialidades de más de doce meses y hasta de </w:t>
      </w:r>
      <w:r>
        <w:rPr>
          <w:rFonts w:ascii="Arial" w:eastAsiaTheme="minorEastAsia" w:hAnsi="Arial" w:cs="Arial"/>
          <w:sz w:val="24"/>
          <w:szCs w:val="24"/>
          <w:lang w:eastAsia="es-MX"/>
        </w:rPr>
        <w:t>veinticuatro</w:t>
      </w:r>
      <w:r w:rsidRPr="009A3CEF">
        <w:rPr>
          <w:rFonts w:ascii="Arial" w:eastAsiaTheme="minorEastAsia" w:hAnsi="Arial" w:cs="Arial"/>
          <w:sz w:val="24"/>
          <w:szCs w:val="24"/>
          <w:lang w:eastAsia="es-MX"/>
        </w:rPr>
        <w:t xml:space="preserve"> meses,</w:t>
      </w:r>
      <w:r>
        <w:rPr>
          <w:rFonts w:ascii="Arial" w:eastAsiaTheme="minorEastAsia" w:hAnsi="Arial" w:cs="Arial"/>
          <w:sz w:val="24"/>
          <w:szCs w:val="24"/>
          <w:lang w:eastAsia="es-MX"/>
        </w:rPr>
        <w:t xml:space="preserve"> la tasa de recargos será de 1.</w:t>
      </w:r>
      <w:r w:rsidRPr="009A3CEF">
        <w:rPr>
          <w:rFonts w:ascii="Arial" w:eastAsiaTheme="minorEastAsia" w:hAnsi="Arial" w:cs="Arial"/>
          <w:sz w:val="24"/>
          <w:szCs w:val="24"/>
          <w:lang w:eastAsia="es-MX"/>
        </w:rPr>
        <w:t>5</w:t>
      </w:r>
      <w:r>
        <w:rPr>
          <w:rFonts w:ascii="Arial" w:eastAsiaTheme="minorEastAsia" w:hAnsi="Arial" w:cs="Arial"/>
          <w:sz w:val="24"/>
          <w:szCs w:val="24"/>
          <w:lang w:eastAsia="es-MX"/>
        </w:rPr>
        <w:t>3</w:t>
      </w:r>
      <w:r w:rsidRPr="009A3CEF">
        <w:rPr>
          <w:rFonts w:ascii="Arial" w:eastAsiaTheme="minorEastAsia" w:hAnsi="Arial" w:cs="Arial"/>
          <w:sz w:val="24"/>
          <w:szCs w:val="24"/>
          <w:lang w:eastAsia="es-MX"/>
        </w:rPr>
        <w:t>% mensual.</w:t>
      </w:r>
    </w:p>
    <w:p w:rsidR="00276D09" w:rsidRPr="009A3CEF" w:rsidRDefault="00276D09" w:rsidP="00276D09">
      <w:pPr>
        <w:spacing w:before="100" w:beforeAutospacing="1" w:after="100" w:afterAutospacing="1" w:line="240" w:lineRule="auto"/>
        <w:ind w:left="709" w:firstLine="709"/>
        <w:jc w:val="both"/>
        <w:rPr>
          <w:rFonts w:ascii="Arial" w:hAnsi="Arial" w:cs="Arial"/>
          <w:sz w:val="24"/>
          <w:szCs w:val="24"/>
        </w:rPr>
      </w:pPr>
      <w:r w:rsidRPr="009A3CEF">
        <w:rPr>
          <w:rFonts w:ascii="Arial" w:eastAsiaTheme="minorEastAsia" w:hAnsi="Arial" w:cs="Arial"/>
          <w:sz w:val="24"/>
          <w:szCs w:val="24"/>
          <w:lang w:eastAsia="es-MX"/>
        </w:rPr>
        <w:lastRenderedPageBreak/>
        <w:t>c) Tratándose de pagos a plazos en parcialidades superiores a veinticuatro meses o de pagos a plazo diferido, la tasa de recargos será de 1.</w:t>
      </w:r>
      <w:r>
        <w:rPr>
          <w:rFonts w:ascii="Arial" w:eastAsiaTheme="minorEastAsia" w:hAnsi="Arial" w:cs="Arial"/>
          <w:sz w:val="24"/>
          <w:szCs w:val="24"/>
          <w:lang w:eastAsia="es-MX"/>
        </w:rPr>
        <w:t>82</w:t>
      </w:r>
      <w:r w:rsidRPr="009A3CEF">
        <w:rPr>
          <w:rFonts w:ascii="Arial" w:eastAsiaTheme="minorEastAsia" w:hAnsi="Arial" w:cs="Arial"/>
          <w:sz w:val="24"/>
          <w:szCs w:val="24"/>
          <w:lang w:eastAsia="es-MX"/>
        </w:rPr>
        <w:t>% mensual.</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136665">
        <w:rPr>
          <w:rFonts w:ascii="Arial" w:hAnsi="Arial" w:cs="Arial"/>
          <w:b/>
          <w:sz w:val="24"/>
          <w:szCs w:val="24"/>
        </w:rPr>
        <w:t>Artículo 23. Programas de apoyo</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El titular del Poder Ejecutivo podrá establecer programas de apoyo</w:t>
      </w:r>
      <w:r w:rsidR="00702C7D">
        <w:rPr>
          <w:rFonts w:ascii="Arial" w:eastAsiaTheme="minorEastAsia" w:hAnsi="Arial" w:cs="Arial"/>
          <w:sz w:val="24"/>
          <w:szCs w:val="24"/>
          <w:lang w:eastAsia="es-MX"/>
        </w:rPr>
        <w:t xml:space="preserve"> o incentivos, según sea el caso,</w:t>
      </w:r>
      <w:r w:rsidRPr="009A3CEF">
        <w:rPr>
          <w:rFonts w:ascii="Arial" w:eastAsiaTheme="minorEastAsia" w:hAnsi="Arial" w:cs="Arial"/>
          <w:sz w:val="24"/>
          <w:szCs w:val="24"/>
          <w:lang w:eastAsia="es-MX"/>
        </w:rPr>
        <w:t xml:space="preserve"> a los contribuyentes</w:t>
      </w:r>
      <w:r w:rsidR="00702C7D">
        <w:rPr>
          <w:rFonts w:ascii="Arial" w:eastAsiaTheme="minorEastAsia" w:hAnsi="Arial" w:cs="Arial"/>
          <w:sz w:val="24"/>
          <w:szCs w:val="24"/>
          <w:lang w:eastAsia="es-MX"/>
        </w:rPr>
        <w:t xml:space="preserve"> o a los sujetos obligados de esta ley</w:t>
      </w:r>
      <w:r w:rsidRPr="009A3CEF">
        <w:rPr>
          <w:rFonts w:ascii="Arial" w:eastAsiaTheme="minorEastAsia" w:hAnsi="Arial" w:cs="Arial"/>
          <w:sz w:val="24"/>
          <w:szCs w:val="24"/>
          <w:lang w:eastAsia="es-MX"/>
        </w:rPr>
        <w:t xml:space="preserve">, los cuales deberán publicarse en el </w:t>
      </w:r>
      <w:r w:rsidR="00702C7D">
        <w:rPr>
          <w:rFonts w:ascii="Arial" w:eastAsiaTheme="minorEastAsia" w:hAnsi="Arial" w:cs="Arial"/>
          <w:sz w:val="24"/>
          <w:szCs w:val="24"/>
          <w:lang w:eastAsia="es-MX"/>
        </w:rPr>
        <w:t>D</w:t>
      </w:r>
      <w:r w:rsidRPr="009A3CEF">
        <w:rPr>
          <w:rFonts w:ascii="Arial" w:eastAsiaTheme="minorEastAsia" w:hAnsi="Arial" w:cs="Arial"/>
          <w:sz w:val="24"/>
          <w:szCs w:val="24"/>
          <w:lang w:eastAsia="es-MX"/>
        </w:rPr>
        <w:t xml:space="preserve">iario </w:t>
      </w:r>
      <w:r w:rsidR="00702C7D">
        <w:rPr>
          <w:rFonts w:ascii="Arial" w:eastAsiaTheme="minorEastAsia" w:hAnsi="Arial" w:cs="Arial"/>
          <w:sz w:val="24"/>
          <w:szCs w:val="24"/>
          <w:lang w:eastAsia="es-MX"/>
        </w:rPr>
        <w:t>O</w:t>
      </w:r>
      <w:r w:rsidRPr="009A3CEF">
        <w:rPr>
          <w:rFonts w:ascii="Arial" w:eastAsiaTheme="minorEastAsia" w:hAnsi="Arial" w:cs="Arial"/>
          <w:sz w:val="24"/>
          <w:szCs w:val="24"/>
          <w:lang w:eastAsia="es-MX"/>
        </w:rPr>
        <w:t>ficial del</w:t>
      </w:r>
      <w:r w:rsidR="00702C7D">
        <w:rPr>
          <w:rFonts w:ascii="Arial" w:eastAsiaTheme="minorEastAsia" w:hAnsi="Arial" w:cs="Arial"/>
          <w:sz w:val="24"/>
          <w:szCs w:val="24"/>
          <w:lang w:eastAsia="es-MX"/>
        </w:rPr>
        <w:t xml:space="preserve"> Gobierno del Estado de Yucatán</w:t>
      </w:r>
      <w:r w:rsidRPr="009A3CEF">
        <w:rPr>
          <w:rFonts w:ascii="Arial" w:eastAsiaTheme="minorEastAsia" w:hAnsi="Arial" w:cs="Arial"/>
          <w:sz w:val="24"/>
          <w:szCs w:val="24"/>
          <w:lang w:eastAsia="es-MX"/>
        </w:rPr>
        <w:t>. En dichos programas de apoyo</w:t>
      </w:r>
      <w:r w:rsidR="00702C7D">
        <w:rPr>
          <w:rFonts w:ascii="Arial" w:eastAsiaTheme="minorEastAsia" w:hAnsi="Arial" w:cs="Arial"/>
          <w:sz w:val="24"/>
          <w:szCs w:val="24"/>
          <w:lang w:eastAsia="es-MX"/>
        </w:rPr>
        <w:t xml:space="preserve"> o incentivos que instituya</w:t>
      </w:r>
      <w:r w:rsidRPr="009A3CEF">
        <w:rPr>
          <w:rFonts w:ascii="Arial" w:eastAsiaTheme="minorEastAsia" w:hAnsi="Arial" w:cs="Arial"/>
          <w:sz w:val="24"/>
          <w:szCs w:val="24"/>
          <w:lang w:eastAsia="es-MX"/>
        </w:rPr>
        <w:t>, entre otras acciones, podrá establecerse la condonación total o parcial de contribuciones y aprovechamientos, así como de sus accesorios.</w:t>
      </w:r>
    </w:p>
    <w:p w:rsidR="00276D09" w:rsidRPr="009A3CEF" w:rsidRDefault="00136665" w:rsidP="00276D09">
      <w:pPr>
        <w:spacing w:before="100" w:beforeAutospacing="1" w:after="100" w:afterAutospacing="1" w:line="240" w:lineRule="auto"/>
        <w:jc w:val="both"/>
        <w:rPr>
          <w:rFonts w:ascii="Arial" w:hAnsi="Arial" w:cs="Arial"/>
          <w:sz w:val="24"/>
          <w:szCs w:val="24"/>
        </w:rPr>
      </w:pPr>
      <w:r>
        <w:rPr>
          <w:rFonts w:ascii="Arial" w:hAnsi="Arial" w:cs="Arial"/>
          <w:b/>
          <w:sz w:val="24"/>
          <w:szCs w:val="24"/>
        </w:rPr>
        <w:t>Artículo 24</w:t>
      </w:r>
      <w:r w:rsidR="00276D09" w:rsidRPr="009A3CEF">
        <w:rPr>
          <w:rFonts w:ascii="Arial" w:hAnsi="Arial" w:cs="Arial"/>
          <w:b/>
          <w:sz w:val="24"/>
          <w:szCs w:val="24"/>
        </w:rPr>
        <w:t>. Imposibilidad práctica de cobro</w:t>
      </w:r>
    </w:p>
    <w:p w:rsidR="00702C7D"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 xml:space="preserve">Se faculta a las autoridades fiscales para que lleven a cabo la cancelación de los créditos fiscales, cuyo cobro les corresponda efectuar, en los casos en que exista imposibilidad práctica de cobro. </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w:t>
      </w:r>
      <w:r w:rsidR="00702C7D">
        <w:rPr>
          <w:rFonts w:ascii="Arial" w:eastAsiaTheme="minorEastAsia" w:hAnsi="Arial" w:cs="Arial"/>
          <w:sz w:val="24"/>
          <w:szCs w:val="24"/>
          <w:lang w:eastAsia="es-MX"/>
        </w:rPr>
        <w:t xml:space="preserve">dministración Fiscal de Yucatán </w:t>
      </w:r>
      <w:r w:rsidR="00702C7D" w:rsidRPr="008B5201">
        <w:rPr>
          <w:rFonts w:ascii="Arial" w:hAnsi="Arial" w:cs="Arial"/>
          <w:sz w:val="23"/>
          <w:szCs w:val="23"/>
        </w:rPr>
        <w:t xml:space="preserve">y sean publicados en el </w:t>
      </w:r>
      <w:r w:rsidR="00702C7D">
        <w:rPr>
          <w:rFonts w:ascii="Arial" w:eastAsiaTheme="minorEastAsia" w:hAnsi="Arial" w:cs="Arial"/>
          <w:sz w:val="24"/>
          <w:szCs w:val="24"/>
          <w:lang w:eastAsia="es-MX"/>
        </w:rPr>
        <w:t>D</w:t>
      </w:r>
      <w:r w:rsidR="00702C7D" w:rsidRPr="009A3CEF">
        <w:rPr>
          <w:rFonts w:ascii="Arial" w:eastAsiaTheme="minorEastAsia" w:hAnsi="Arial" w:cs="Arial"/>
          <w:sz w:val="24"/>
          <w:szCs w:val="24"/>
          <w:lang w:eastAsia="es-MX"/>
        </w:rPr>
        <w:t xml:space="preserve">iario </w:t>
      </w:r>
      <w:r w:rsidR="00702C7D">
        <w:rPr>
          <w:rFonts w:ascii="Arial" w:eastAsiaTheme="minorEastAsia" w:hAnsi="Arial" w:cs="Arial"/>
          <w:sz w:val="24"/>
          <w:szCs w:val="24"/>
          <w:lang w:eastAsia="es-MX"/>
        </w:rPr>
        <w:t>O</w:t>
      </w:r>
      <w:r w:rsidR="00702C7D" w:rsidRPr="009A3CEF">
        <w:rPr>
          <w:rFonts w:ascii="Arial" w:eastAsiaTheme="minorEastAsia" w:hAnsi="Arial" w:cs="Arial"/>
          <w:sz w:val="24"/>
          <w:szCs w:val="24"/>
          <w:lang w:eastAsia="es-MX"/>
        </w:rPr>
        <w:t>ficial del</w:t>
      </w:r>
      <w:r w:rsidR="00702C7D">
        <w:rPr>
          <w:rFonts w:ascii="Arial" w:eastAsiaTheme="minorEastAsia" w:hAnsi="Arial" w:cs="Arial"/>
          <w:sz w:val="24"/>
          <w:szCs w:val="24"/>
          <w:lang w:eastAsia="es-MX"/>
        </w:rPr>
        <w:t xml:space="preserve"> Gobierno del Estado de Yucatán</w:t>
      </w:r>
      <w:r w:rsidR="00702C7D" w:rsidRPr="008B5201">
        <w:rPr>
          <w:rFonts w:ascii="Arial" w:hAnsi="Arial" w:cs="Arial"/>
          <w:sz w:val="23"/>
          <w:szCs w:val="23"/>
        </w:rPr>
        <w:t>.</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hAnsi="Arial" w:cs="Arial"/>
          <w:b/>
          <w:sz w:val="24"/>
          <w:szCs w:val="24"/>
        </w:rPr>
        <w:t>Artículo 2</w:t>
      </w:r>
      <w:r w:rsidR="00136665">
        <w:rPr>
          <w:rFonts w:ascii="Arial" w:hAnsi="Arial" w:cs="Arial"/>
          <w:b/>
          <w:sz w:val="24"/>
          <w:szCs w:val="24"/>
        </w:rPr>
        <w:t>5</w:t>
      </w:r>
      <w:r w:rsidRPr="009A3CEF">
        <w:rPr>
          <w:rFonts w:ascii="Arial" w:hAnsi="Arial" w:cs="Arial"/>
          <w:b/>
          <w:sz w:val="24"/>
          <w:szCs w:val="24"/>
        </w:rPr>
        <w:t>. Créditos fiscales incosteables</w:t>
      </w:r>
    </w:p>
    <w:p w:rsidR="00276D09" w:rsidRPr="009A3CEF" w:rsidRDefault="00276D09" w:rsidP="00276D09">
      <w:pPr>
        <w:spacing w:before="100" w:beforeAutospacing="1" w:after="100" w:afterAutospacing="1" w:line="240" w:lineRule="auto"/>
        <w:jc w:val="both"/>
        <w:rPr>
          <w:rFonts w:ascii="Arial" w:hAnsi="Arial" w:cs="Arial"/>
          <w:sz w:val="24"/>
          <w:szCs w:val="24"/>
        </w:rPr>
      </w:pPr>
      <w:r w:rsidRPr="009A3CEF">
        <w:rPr>
          <w:rFonts w:ascii="Arial" w:eastAsiaTheme="minorEastAsia" w:hAnsi="Arial" w:cs="Arial"/>
          <w:sz w:val="24"/>
          <w:szCs w:val="24"/>
          <w:lang w:eastAsia="es-MX"/>
        </w:rPr>
        <w:t>Se faculta a las autoridades fiscales para que lleven a cabo la cancelación de los créditos fiscales cuyo cobro les corresponda efectuar, en los casos en que aquellos sean incosteables.</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Para que un crédito se considere incosteable, la autoridad fiscal evaluará los siguientes conceptos: monto del crédito, costo de las acciones de recuperación, antigüedad del crédito y probabilidad de cobro.</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lastRenderedPageBreak/>
        <w:t>La Agencia de Administración Fiscal de Yucatán establecerá, con sujeción a los lineamientos establecidos en este artículo, el tipo de casos o supuestos en que procederá la cancelación a que se refiere este artículo.</w:t>
      </w:r>
    </w:p>
    <w:p w:rsidR="00276D09" w:rsidRPr="009A3CEF" w:rsidRDefault="00276D09" w:rsidP="00276D09">
      <w:pPr>
        <w:spacing w:before="100" w:beforeAutospacing="1" w:after="100" w:afterAutospacing="1" w:line="240" w:lineRule="auto"/>
        <w:jc w:val="both"/>
        <w:rPr>
          <w:rFonts w:ascii="Arial" w:eastAsiaTheme="minorEastAsia" w:hAnsi="Arial" w:cs="Arial"/>
          <w:sz w:val="24"/>
          <w:szCs w:val="24"/>
          <w:lang w:eastAsia="es-MX"/>
        </w:rPr>
      </w:pPr>
      <w:r w:rsidRPr="009A3CEF">
        <w:rPr>
          <w:rFonts w:ascii="Arial" w:eastAsiaTheme="minorEastAsia" w:hAnsi="Arial" w:cs="Arial"/>
          <w:sz w:val="24"/>
          <w:szCs w:val="24"/>
          <w:lang w:eastAsia="es-MX"/>
        </w:rPr>
        <w:t>La cancelación de los créditos a que se refiere este artículo no libera de su pago.</w:t>
      </w:r>
    </w:p>
    <w:p w:rsidR="005939EC" w:rsidRPr="009A3CEF" w:rsidRDefault="005939EC" w:rsidP="007D4097">
      <w:pPr>
        <w:spacing w:before="100" w:beforeAutospacing="1" w:after="100" w:afterAutospacing="1" w:line="240" w:lineRule="auto"/>
        <w:jc w:val="center"/>
        <w:rPr>
          <w:rFonts w:ascii="Arial" w:hAnsi="Arial" w:cs="Arial"/>
          <w:sz w:val="24"/>
          <w:szCs w:val="24"/>
        </w:rPr>
      </w:pPr>
      <w:r w:rsidRPr="009A3CEF">
        <w:rPr>
          <w:rFonts w:ascii="Arial" w:hAnsi="Arial" w:cs="Arial"/>
          <w:b/>
          <w:sz w:val="24"/>
          <w:szCs w:val="24"/>
        </w:rPr>
        <w:t>Artículos transitorios</w:t>
      </w:r>
    </w:p>
    <w:p w:rsidR="005939EC" w:rsidRPr="00062256"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062256">
        <w:rPr>
          <w:rFonts w:ascii="Arial" w:hAnsi="Arial" w:cs="Arial"/>
          <w:b/>
          <w:sz w:val="24"/>
          <w:szCs w:val="24"/>
        </w:rPr>
        <w:t>Primero. Entrada en vigor</w:t>
      </w:r>
    </w:p>
    <w:p w:rsidR="005939EC" w:rsidRPr="00062256" w:rsidRDefault="005939EC" w:rsidP="007D4097">
      <w:pPr>
        <w:spacing w:before="100" w:beforeAutospacing="1" w:after="100" w:afterAutospacing="1" w:line="240" w:lineRule="auto"/>
        <w:jc w:val="both"/>
        <w:rPr>
          <w:rFonts w:ascii="Arial" w:hAnsi="Arial" w:cs="Arial"/>
          <w:sz w:val="24"/>
          <w:szCs w:val="24"/>
        </w:rPr>
      </w:pPr>
      <w:r w:rsidRPr="00062256">
        <w:rPr>
          <w:rFonts w:ascii="Arial" w:eastAsiaTheme="minorEastAsia" w:hAnsi="Arial" w:cs="Arial"/>
          <w:sz w:val="24"/>
          <w:szCs w:val="24"/>
          <w:lang w:eastAsia="es-MX"/>
        </w:rPr>
        <w:t>Este decreto entrará en vigor el 1 de enero de 201</w:t>
      </w:r>
      <w:r w:rsidR="003E31B5" w:rsidRPr="00062256">
        <w:rPr>
          <w:rFonts w:ascii="Arial" w:eastAsiaTheme="minorEastAsia" w:hAnsi="Arial" w:cs="Arial"/>
          <w:sz w:val="24"/>
          <w:szCs w:val="24"/>
          <w:lang w:eastAsia="es-MX"/>
        </w:rPr>
        <w:t>9</w:t>
      </w:r>
      <w:r w:rsidRPr="00062256">
        <w:rPr>
          <w:rFonts w:ascii="Arial" w:eastAsiaTheme="minorEastAsia" w:hAnsi="Arial" w:cs="Arial"/>
          <w:sz w:val="24"/>
          <w:szCs w:val="24"/>
          <w:lang w:eastAsia="es-MX"/>
        </w:rPr>
        <w:t>, previ</w:t>
      </w:r>
      <w:r w:rsidR="00062256" w:rsidRPr="00062256">
        <w:rPr>
          <w:rFonts w:ascii="Arial" w:eastAsiaTheme="minorEastAsia" w:hAnsi="Arial" w:cs="Arial"/>
          <w:sz w:val="24"/>
          <w:szCs w:val="24"/>
          <w:lang w:eastAsia="es-MX"/>
        </w:rPr>
        <w:t>a publicación en el Diario Oficial del Gobierno del Estado de Yucatán</w:t>
      </w:r>
      <w:r w:rsidRPr="00062256">
        <w:rPr>
          <w:rFonts w:ascii="Arial" w:eastAsiaTheme="minorEastAsia" w:hAnsi="Arial" w:cs="Arial"/>
          <w:sz w:val="24"/>
          <w:szCs w:val="24"/>
          <w:lang w:eastAsia="es-MX"/>
        </w:rPr>
        <w:t>, y tendrá vigencia hasta el 31 de diciembre del mismo año.</w:t>
      </w:r>
    </w:p>
    <w:p w:rsidR="005939EC" w:rsidRPr="00062256" w:rsidRDefault="005939EC" w:rsidP="007D4097">
      <w:pPr>
        <w:spacing w:before="100" w:beforeAutospacing="1" w:after="100" w:afterAutospacing="1" w:line="240" w:lineRule="auto"/>
        <w:jc w:val="both"/>
        <w:rPr>
          <w:rFonts w:ascii="Arial" w:eastAsiaTheme="minorEastAsia" w:hAnsi="Arial" w:cs="Arial"/>
          <w:b/>
          <w:sz w:val="24"/>
          <w:szCs w:val="24"/>
          <w:lang w:eastAsia="es-MX"/>
        </w:rPr>
      </w:pPr>
      <w:r w:rsidRPr="00062256">
        <w:rPr>
          <w:rFonts w:ascii="Arial" w:eastAsiaTheme="minorEastAsia" w:hAnsi="Arial" w:cs="Arial"/>
          <w:b/>
          <w:sz w:val="24"/>
          <w:szCs w:val="24"/>
          <w:lang w:eastAsia="es-MX"/>
        </w:rPr>
        <w:t xml:space="preserve">Segundo. Derogación </w:t>
      </w:r>
    </w:p>
    <w:p w:rsidR="005939EC"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062256">
        <w:rPr>
          <w:rFonts w:ascii="Arial" w:eastAsiaTheme="minorEastAsia" w:hAnsi="Arial" w:cs="Arial"/>
          <w:sz w:val="24"/>
          <w:szCs w:val="24"/>
          <w:lang w:eastAsia="es-MX"/>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w:t>
      </w:r>
      <w:r w:rsidR="00FB2C3D">
        <w:rPr>
          <w:rFonts w:ascii="Arial" w:eastAsiaTheme="minorEastAsia" w:hAnsi="Arial" w:cs="Arial"/>
          <w:sz w:val="24"/>
          <w:szCs w:val="24"/>
          <w:lang w:eastAsia="es-MX"/>
        </w:rPr>
        <w:t>án para el Ejercicio Fiscal 2019</w:t>
      </w:r>
      <w:r w:rsidRPr="00062256">
        <w:rPr>
          <w:rFonts w:ascii="Arial" w:eastAsiaTheme="minorEastAsia" w:hAnsi="Arial" w:cs="Arial"/>
          <w:sz w:val="24"/>
          <w:szCs w:val="24"/>
          <w:lang w:eastAsia="es-MX"/>
        </w:rPr>
        <w:t>, en el Código Fiscal del Estado de Yucatán, en los decretos expedidos por el Poder Ejecutivo del estado y en las leyes que establecen dichas contribuciones, así como sus reglamentos.</w:t>
      </w:r>
    </w:p>
    <w:p w:rsidR="00062256" w:rsidRPr="00062256" w:rsidRDefault="00062256" w:rsidP="00062256">
      <w:pPr>
        <w:spacing w:before="100" w:beforeAutospacing="1" w:after="100" w:afterAutospacing="1" w:line="240" w:lineRule="auto"/>
        <w:jc w:val="both"/>
        <w:rPr>
          <w:rFonts w:ascii="Arial" w:eastAsiaTheme="minorEastAsia" w:hAnsi="Arial" w:cs="Arial"/>
          <w:sz w:val="24"/>
          <w:szCs w:val="24"/>
          <w:lang w:eastAsia="es-MX"/>
        </w:rPr>
      </w:pPr>
      <w:r w:rsidRPr="00062256">
        <w:rPr>
          <w:rFonts w:ascii="Arial" w:eastAsiaTheme="minorEastAsia" w:hAnsi="Arial" w:cs="Arial"/>
          <w:sz w:val="24"/>
          <w:szCs w:val="24"/>
          <w:lang w:eastAsia="es-MX"/>
        </w:rPr>
        <w:t xml:space="preserve">Se derogan las disposiciones contenidas en leyes de carácter no fiscal que establezcan que los ingresos que obtengan las dependencias, incluyendo sus órganos administrativos </w:t>
      </w:r>
      <w:r>
        <w:rPr>
          <w:rFonts w:ascii="Arial" w:eastAsiaTheme="minorEastAsia" w:hAnsi="Arial" w:cs="Arial"/>
          <w:sz w:val="24"/>
          <w:szCs w:val="24"/>
          <w:lang w:eastAsia="es-MX"/>
        </w:rPr>
        <w:t>desconcentrados,</w:t>
      </w:r>
      <w:r w:rsidRPr="00062256">
        <w:rPr>
          <w:rFonts w:ascii="Arial" w:eastAsiaTheme="minorEastAsia" w:hAnsi="Arial" w:cs="Arial"/>
          <w:sz w:val="24"/>
          <w:szCs w:val="24"/>
          <w:lang w:eastAsia="es-MX"/>
        </w:rPr>
        <w:t xml:space="preserve"> o entidades, por concepto de derecho</w:t>
      </w:r>
      <w:r>
        <w:rPr>
          <w:rFonts w:ascii="Arial" w:eastAsiaTheme="minorEastAsia" w:hAnsi="Arial" w:cs="Arial"/>
          <w:sz w:val="24"/>
          <w:szCs w:val="24"/>
          <w:lang w:eastAsia="es-MX"/>
        </w:rPr>
        <w:t>s, productos o aprovechamientos</w:t>
      </w:r>
      <w:r w:rsidRPr="00062256">
        <w:rPr>
          <w:rFonts w:ascii="Arial" w:eastAsiaTheme="minorEastAsia" w:hAnsi="Arial" w:cs="Arial"/>
          <w:sz w:val="24"/>
          <w:szCs w:val="24"/>
          <w:lang w:eastAsia="es-MX"/>
        </w:rPr>
        <w:t xml:space="preserve"> e ingresos de cualquier otra naturaleza, serán considerados como ingresos excedentes en el ejercicio fiscal en que se generen.</w:t>
      </w:r>
    </w:p>
    <w:p w:rsidR="005939EC" w:rsidRPr="00FB2C3D" w:rsidRDefault="005939EC" w:rsidP="007D4097">
      <w:pPr>
        <w:spacing w:before="100" w:beforeAutospacing="1" w:after="100" w:afterAutospacing="1" w:line="240" w:lineRule="auto"/>
        <w:rPr>
          <w:rFonts w:ascii="Arial" w:hAnsi="Arial" w:cs="Arial"/>
          <w:sz w:val="24"/>
          <w:szCs w:val="24"/>
        </w:rPr>
      </w:pPr>
      <w:r w:rsidRPr="00FB2C3D">
        <w:rPr>
          <w:rFonts w:ascii="Arial" w:eastAsiaTheme="minorEastAsia" w:hAnsi="Arial" w:cs="Arial"/>
          <w:b/>
          <w:sz w:val="24"/>
          <w:szCs w:val="24"/>
          <w:lang w:eastAsia="es-MX"/>
        </w:rPr>
        <w:t>Tercero. Obligación de los entes públicos</w:t>
      </w:r>
    </w:p>
    <w:p w:rsidR="005939EC" w:rsidRPr="00FB2C3D" w:rsidRDefault="005939EC" w:rsidP="007D4097">
      <w:pPr>
        <w:spacing w:before="100" w:beforeAutospacing="1" w:after="100" w:afterAutospacing="1" w:line="240" w:lineRule="auto"/>
        <w:jc w:val="both"/>
        <w:rPr>
          <w:rFonts w:ascii="Arial" w:hAnsi="Arial" w:cs="Arial"/>
          <w:sz w:val="24"/>
          <w:szCs w:val="24"/>
        </w:rPr>
      </w:pPr>
      <w:r w:rsidRPr="00FB2C3D">
        <w:rPr>
          <w:rFonts w:ascii="Arial" w:eastAsiaTheme="minorEastAsia" w:hAnsi="Arial" w:cs="Arial"/>
          <w:sz w:val="24"/>
          <w:szCs w:val="24"/>
          <w:lang w:eastAsia="es-MX"/>
        </w:rPr>
        <w:t>Los entes públicos que reciban ingresos de los previstos en la Ley de Ingresos del Estado de Yucatán para el Ejercicio Fiscal 201</w:t>
      </w:r>
      <w:r w:rsidR="00FB2C3D" w:rsidRPr="00FB2C3D">
        <w:rPr>
          <w:rFonts w:ascii="Arial" w:eastAsiaTheme="minorEastAsia" w:hAnsi="Arial" w:cs="Arial"/>
          <w:sz w:val="24"/>
          <w:szCs w:val="24"/>
          <w:lang w:eastAsia="es-MX"/>
        </w:rPr>
        <w:t>9</w:t>
      </w:r>
      <w:r w:rsidRPr="00FB2C3D">
        <w:rPr>
          <w:rFonts w:ascii="Arial" w:eastAsiaTheme="minorEastAsia" w:hAnsi="Arial" w:cs="Arial"/>
          <w:sz w:val="24"/>
          <w:szCs w:val="24"/>
          <w:lang w:eastAsia="es-MX"/>
        </w:rPr>
        <w:t xml:space="preserve"> deberán elaborar y difundir en sus respectivos sitios web documentos dirigidos a la ciudadanía que expliquen, de manera sencilla y en los formatos aprobados por el Consejo Nacional de Armonización Contable, el contenido de la Ley de Ingresos del Estado de Yucatán para el Ejercicio Fiscal 201</w:t>
      </w:r>
      <w:r w:rsidR="00FB2C3D" w:rsidRPr="00FB2C3D">
        <w:rPr>
          <w:rFonts w:ascii="Arial" w:eastAsiaTheme="minorEastAsia" w:hAnsi="Arial" w:cs="Arial"/>
          <w:sz w:val="24"/>
          <w:szCs w:val="24"/>
          <w:lang w:eastAsia="es-MX"/>
        </w:rPr>
        <w:t>9</w:t>
      </w:r>
      <w:r w:rsidRPr="00FB2C3D">
        <w:rPr>
          <w:rFonts w:ascii="Arial" w:eastAsiaTheme="minorEastAsia" w:hAnsi="Arial" w:cs="Arial"/>
          <w:sz w:val="24"/>
          <w:szCs w:val="24"/>
          <w:lang w:eastAsia="es-MX"/>
        </w:rPr>
        <w:t>.</w:t>
      </w:r>
    </w:p>
    <w:p w:rsidR="005939EC" w:rsidRPr="00FB2C3D" w:rsidRDefault="005939EC" w:rsidP="007D4097">
      <w:pPr>
        <w:spacing w:before="100" w:beforeAutospacing="1" w:after="100" w:afterAutospacing="1" w:line="240" w:lineRule="auto"/>
        <w:jc w:val="both"/>
        <w:rPr>
          <w:rFonts w:ascii="Arial" w:eastAsiaTheme="minorEastAsia" w:hAnsi="Arial" w:cs="Arial"/>
          <w:sz w:val="24"/>
          <w:szCs w:val="24"/>
          <w:lang w:eastAsia="es-MX"/>
        </w:rPr>
      </w:pPr>
      <w:r w:rsidRPr="00FB2C3D">
        <w:rPr>
          <w:rFonts w:ascii="Arial" w:eastAsiaTheme="minorEastAsia" w:hAnsi="Arial" w:cs="Arial"/>
          <w:b/>
          <w:sz w:val="24"/>
          <w:szCs w:val="24"/>
          <w:lang w:eastAsia="es-MX"/>
        </w:rPr>
        <w:t>Cuarto. Autoridades fiscales</w:t>
      </w:r>
    </w:p>
    <w:p w:rsidR="005939EC" w:rsidRDefault="00300CE6" w:rsidP="007D4097">
      <w:pPr>
        <w:spacing w:before="100" w:beforeAutospacing="1" w:after="100" w:afterAutospacing="1" w:line="240" w:lineRule="auto"/>
        <w:jc w:val="both"/>
        <w:rPr>
          <w:rFonts w:ascii="Arial" w:eastAsiaTheme="minorEastAsia" w:hAnsi="Arial" w:cs="Arial"/>
          <w:sz w:val="24"/>
          <w:szCs w:val="24"/>
          <w:lang w:eastAsia="es-MX"/>
        </w:rPr>
      </w:pPr>
      <w:r w:rsidRPr="00300CE6">
        <w:rPr>
          <w:rFonts w:ascii="Arial" w:hAnsi="Arial" w:cs="Arial"/>
          <w:b/>
          <w:noProof/>
          <w:sz w:val="24"/>
          <w:szCs w:val="24"/>
          <w:lang w:eastAsia="es-MX"/>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15.15pt;margin-top:55.5pt;width:226.75pt;height:47.05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6lgwIAAA8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" stroked="f">
            <v:textbox>
              <w:txbxContent>
                <w:p w:rsidR="0079342C" w:rsidRPr="00955C5A" w:rsidRDefault="0079342C" w:rsidP="006672BC">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w:t>
                  </w:r>
                  <w:r>
                    <w:rPr>
                      <w:rFonts w:ascii="Arial" w:hAnsi="Arial" w:cs="Arial"/>
                      <w:sz w:val="20"/>
                      <w:szCs w:val="20"/>
                    </w:rPr>
                    <w:t>os para el Ejercicio Fiscal 2019</w:t>
                  </w:r>
                  <w:r w:rsidRPr="00955C5A">
                    <w:rPr>
                      <w:rFonts w:ascii="Arial" w:hAnsi="Arial" w:cs="Arial"/>
                      <w:sz w:val="20"/>
                      <w:szCs w:val="20"/>
                    </w:rPr>
                    <w:t>.</w:t>
                  </w:r>
                </w:p>
                <w:p w:rsidR="0079342C" w:rsidRDefault="0079342C" w:rsidP="006672BC">
                  <w:pPr>
                    <w:rPr>
                      <w:lang w:val="es-ES"/>
                    </w:rPr>
                  </w:pPr>
                </w:p>
              </w:txbxContent>
            </v:textbox>
            <w10:wrap anchory="page"/>
          </v:shape>
        </w:pict>
      </w:r>
      <w:r w:rsidR="005939EC" w:rsidRPr="00FB2C3D">
        <w:rPr>
          <w:rFonts w:ascii="Arial" w:eastAsiaTheme="minorEastAsia" w:hAnsi="Arial" w:cs="Arial"/>
          <w:sz w:val="24"/>
          <w:szCs w:val="24"/>
          <w:lang w:eastAsia="es-MX"/>
        </w:rPr>
        <w:t>Para los efectos relacionados con el cobro de contribuciones estatales, se derogan todas las disposiciones que establezcan el carácter de autoridad fiscal a cualquier dependencia, órgano u organismo distinto de la Agencia de Administración Fiscal de Yucatán.</w:t>
      </w:r>
    </w:p>
    <w:p w:rsidR="00FB2C3D" w:rsidRPr="00FB2C3D" w:rsidRDefault="00FB2C3D" w:rsidP="00FB2C3D">
      <w:pPr>
        <w:spacing w:before="100" w:beforeAutospacing="1" w:after="100" w:afterAutospacing="1" w:line="240" w:lineRule="auto"/>
        <w:jc w:val="both"/>
        <w:rPr>
          <w:rFonts w:ascii="Arial" w:eastAsiaTheme="minorEastAsia" w:hAnsi="Arial" w:cs="Arial"/>
          <w:b/>
          <w:sz w:val="24"/>
          <w:szCs w:val="24"/>
          <w:lang w:eastAsia="es-MX"/>
        </w:rPr>
      </w:pPr>
      <w:r w:rsidRPr="00FB2C3D">
        <w:rPr>
          <w:rFonts w:ascii="Arial" w:eastAsiaTheme="minorEastAsia" w:hAnsi="Arial" w:cs="Arial"/>
          <w:b/>
          <w:sz w:val="24"/>
          <w:szCs w:val="24"/>
          <w:lang w:eastAsia="es-MX"/>
        </w:rPr>
        <w:t>Quinto. Plan Estatal de Desarrollo 2018-2024</w:t>
      </w:r>
    </w:p>
    <w:p w:rsidR="00FB2C3D" w:rsidRPr="00FB2C3D" w:rsidRDefault="00FB2C3D" w:rsidP="00FB2C3D">
      <w:pPr>
        <w:spacing w:before="100" w:beforeAutospacing="1" w:after="100" w:afterAutospacing="1" w:line="240" w:lineRule="auto"/>
        <w:jc w:val="both"/>
        <w:rPr>
          <w:rFonts w:ascii="Arial" w:eastAsiaTheme="minorEastAsia" w:hAnsi="Arial" w:cs="Arial"/>
          <w:sz w:val="24"/>
          <w:szCs w:val="24"/>
          <w:lang w:eastAsia="es-MX"/>
        </w:rPr>
      </w:pPr>
      <w:r w:rsidRPr="00FB2C3D">
        <w:rPr>
          <w:rFonts w:ascii="Arial" w:eastAsiaTheme="minorEastAsia" w:hAnsi="Arial" w:cs="Arial"/>
          <w:sz w:val="24"/>
          <w:szCs w:val="24"/>
          <w:lang w:eastAsia="es-MX"/>
        </w:rPr>
        <w:t>Una vez expedido el Plan Estatal de Desarrollo 2018-2024, las directrices, las líneas de acción y proyectos estratégicos propuestos para el ejercicio fiscal 2019, serán re</w:t>
      </w:r>
      <w:r>
        <w:rPr>
          <w:rFonts w:ascii="Arial" w:eastAsiaTheme="minorEastAsia" w:hAnsi="Arial" w:cs="Arial"/>
          <w:sz w:val="24"/>
          <w:szCs w:val="24"/>
          <w:lang w:eastAsia="es-MX"/>
        </w:rPr>
        <w:t>estructurados con la finalidad de cumplir l</w:t>
      </w:r>
      <w:r w:rsidRPr="00FB2C3D">
        <w:rPr>
          <w:rFonts w:ascii="Arial" w:eastAsiaTheme="minorEastAsia" w:hAnsi="Arial" w:cs="Arial"/>
          <w:sz w:val="24"/>
          <w:szCs w:val="24"/>
          <w:lang w:eastAsia="es-MX"/>
        </w:rPr>
        <w:t>os objetivos previstos en los nuevos ejes de desarrollo.</w:t>
      </w:r>
    </w:p>
    <w:p w:rsidR="00FB2C3D" w:rsidRPr="00FB2C3D" w:rsidRDefault="00FB2C3D" w:rsidP="00FB2C3D">
      <w:pPr>
        <w:spacing w:before="100" w:beforeAutospacing="1" w:after="100" w:afterAutospacing="1" w:line="240" w:lineRule="auto"/>
        <w:jc w:val="both"/>
        <w:rPr>
          <w:rFonts w:ascii="Arial" w:eastAsiaTheme="minorEastAsia" w:hAnsi="Arial" w:cs="Arial"/>
          <w:b/>
          <w:sz w:val="24"/>
          <w:szCs w:val="24"/>
          <w:lang w:eastAsia="es-MX"/>
        </w:rPr>
      </w:pPr>
      <w:r w:rsidRPr="00FB2C3D">
        <w:rPr>
          <w:rFonts w:ascii="Arial" w:eastAsiaTheme="minorEastAsia" w:hAnsi="Arial" w:cs="Arial"/>
          <w:b/>
          <w:sz w:val="24"/>
          <w:szCs w:val="24"/>
          <w:lang w:eastAsia="es-MX"/>
        </w:rPr>
        <w:t>Sexto. Acuerdo relativo al sector salud</w:t>
      </w:r>
    </w:p>
    <w:p w:rsidR="00FB2C3D" w:rsidRPr="00FB2C3D" w:rsidRDefault="00FB2C3D" w:rsidP="00FB2C3D">
      <w:pPr>
        <w:spacing w:before="100" w:beforeAutospacing="1" w:after="100" w:afterAutospacing="1" w:line="240" w:lineRule="auto"/>
        <w:jc w:val="both"/>
        <w:rPr>
          <w:rFonts w:ascii="Arial" w:eastAsiaTheme="minorEastAsia" w:hAnsi="Arial" w:cs="Arial"/>
          <w:sz w:val="24"/>
          <w:szCs w:val="24"/>
          <w:lang w:eastAsia="es-MX"/>
        </w:rPr>
      </w:pPr>
      <w:r w:rsidRPr="00FB2C3D">
        <w:rPr>
          <w:rFonts w:ascii="Arial" w:eastAsiaTheme="minorEastAsia" w:hAnsi="Arial" w:cs="Arial"/>
          <w:sz w:val="24"/>
          <w:szCs w:val="24"/>
          <w:lang w:eastAsia="es-MX"/>
        </w:rPr>
        <w:t>En atención al Acuerdo entre el Gobierno Federal</w:t>
      </w:r>
      <w:r>
        <w:rPr>
          <w:rFonts w:ascii="Arial" w:eastAsiaTheme="minorEastAsia" w:hAnsi="Arial" w:cs="Arial"/>
          <w:sz w:val="24"/>
          <w:szCs w:val="24"/>
          <w:lang w:eastAsia="es-MX"/>
        </w:rPr>
        <w:t>, a través de la Secretaría de Salud, y los g</w:t>
      </w:r>
      <w:r w:rsidRPr="00FB2C3D">
        <w:rPr>
          <w:rFonts w:ascii="Arial" w:eastAsiaTheme="minorEastAsia" w:hAnsi="Arial" w:cs="Arial"/>
          <w:sz w:val="24"/>
          <w:szCs w:val="24"/>
          <w:lang w:eastAsia="es-MX"/>
        </w:rPr>
        <w:t xml:space="preserve">obernadores </w:t>
      </w:r>
      <w:r>
        <w:rPr>
          <w:rFonts w:ascii="Arial" w:eastAsiaTheme="minorEastAsia" w:hAnsi="Arial" w:cs="Arial"/>
          <w:sz w:val="24"/>
          <w:szCs w:val="24"/>
          <w:lang w:eastAsia="es-MX"/>
        </w:rPr>
        <w:t>c</w:t>
      </w:r>
      <w:r w:rsidRPr="00FB2C3D">
        <w:rPr>
          <w:rFonts w:ascii="Arial" w:eastAsiaTheme="minorEastAsia" w:hAnsi="Arial" w:cs="Arial"/>
          <w:sz w:val="24"/>
          <w:szCs w:val="24"/>
          <w:lang w:eastAsia="es-MX"/>
        </w:rPr>
        <w:t>onstitucionales</w:t>
      </w:r>
      <w:r>
        <w:rPr>
          <w:rFonts w:ascii="Arial" w:eastAsiaTheme="minorEastAsia" w:hAnsi="Arial" w:cs="Arial"/>
          <w:sz w:val="24"/>
          <w:szCs w:val="24"/>
          <w:lang w:eastAsia="es-MX"/>
        </w:rPr>
        <w:t xml:space="preserve"> de Campeche</w:t>
      </w:r>
      <w:r w:rsidRPr="00FB2C3D">
        <w:rPr>
          <w:rFonts w:ascii="Arial" w:eastAsiaTheme="minorEastAsia" w:hAnsi="Arial" w:cs="Arial"/>
          <w:sz w:val="24"/>
          <w:szCs w:val="24"/>
          <w:lang w:eastAsia="es-MX"/>
        </w:rPr>
        <w:t>,</w:t>
      </w:r>
      <w:r>
        <w:rPr>
          <w:rFonts w:ascii="Arial" w:eastAsiaTheme="minorEastAsia" w:hAnsi="Arial" w:cs="Arial"/>
          <w:sz w:val="24"/>
          <w:szCs w:val="24"/>
          <w:lang w:eastAsia="es-MX"/>
        </w:rPr>
        <w:t xml:space="preserve"> Chiapas, Guerrero, Oaxaca, Quintana Roo, Tabasco, Veracruz y Yucatán, para </w:t>
      </w:r>
      <w:r w:rsidRPr="00FB2C3D">
        <w:rPr>
          <w:rFonts w:ascii="Arial" w:eastAsiaTheme="minorEastAsia" w:hAnsi="Arial" w:cs="Arial"/>
          <w:sz w:val="24"/>
          <w:szCs w:val="24"/>
          <w:lang w:eastAsia="es-MX"/>
        </w:rPr>
        <w:t>hacer efectivo el acceso a la atención médica y medicamentos gratuitos de la población sin seguridad social, se estará a lo establecido en dicho acuerdo y demás normativa que se emita para tal efecto.</w:t>
      </w:r>
    </w:p>
    <w:p w:rsidR="00FB2C3D" w:rsidRPr="009A3CEF" w:rsidRDefault="00FB2C3D" w:rsidP="007D4097">
      <w:pPr>
        <w:spacing w:before="100" w:beforeAutospacing="1" w:after="100" w:afterAutospacing="1" w:line="240" w:lineRule="auto"/>
        <w:jc w:val="both"/>
        <w:rPr>
          <w:rFonts w:ascii="Arial" w:hAnsi="Arial" w:cs="Arial"/>
          <w:sz w:val="24"/>
          <w:szCs w:val="24"/>
        </w:rPr>
      </w:pPr>
    </w:p>
    <w:p w:rsidR="005939EC" w:rsidRPr="009A3CEF" w:rsidRDefault="005939EC" w:rsidP="007D4097">
      <w:pPr>
        <w:spacing w:before="100" w:beforeAutospacing="1" w:after="100" w:afterAutospacing="1" w:line="240" w:lineRule="auto"/>
        <w:jc w:val="center"/>
        <w:rPr>
          <w:rFonts w:ascii="Arial" w:hAnsi="Arial" w:cs="Arial"/>
          <w:b/>
          <w:sz w:val="24"/>
          <w:szCs w:val="24"/>
        </w:rPr>
      </w:pPr>
      <w:r w:rsidRPr="009A3CEF">
        <w:rPr>
          <w:rFonts w:ascii="Arial" w:hAnsi="Arial" w:cs="Arial"/>
          <w:b/>
          <w:sz w:val="24"/>
          <w:szCs w:val="24"/>
        </w:rPr>
        <w:t>Atentamente</w:t>
      </w:r>
    </w:p>
    <w:p w:rsidR="007D4097" w:rsidRPr="009A3CEF" w:rsidRDefault="007D4097" w:rsidP="007D4097">
      <w:pPr>
        <w:spacing w:before="100" w:beforeAutospacing="1" w:after="100" w:afterAutospacing="1" w:line="240" w:lineRule="auto"/>
        <w:jc w:val="center"/>
        <w:rPr>
          <w:rFonts w:ascii="Arial" w:eastAsiaTheme="minorEastAsia" w:hAnsi="Arial" w:cs="Arial"/>
          <w:sz w:val="24"/>
          <w:szCs w:val="24"/>
          <w:lang w:eastAsia="es-MX"/>
        </w:rPr>
      </w:pPr>
    </w:p>
    <w:p w:rsidR="005939EC" w:rsidRPr="009A3CEF" w:rsidRDefault="00BB4C48" w:rsidP="007D4097">
      <w:pPr>
        <w:spacing w:before="100" w:beforeAutospacing="1" w:after="100" w:afterAutospacing="1" w:line="240" w:lineRule="auto"/>
        <w:jc w:val="center"/>
        <w:rPr>
          <w:rFonts w:ascii="Arial" w:hAnsi="Arial" w:cs="Arial"/>
          <w:b/>
          <w:sz w:val="24"/>
          <w:szCs w:val="24"/>
        </w:rPr>
      </w:pPr>
      <w:r>
        <w:rPr>
          <w:rFonts w:ascii="Arial" w:hAnsi="Arial" w:cs="Arial"/>
          <w:b/>
          <w:sz w:val="24"/>
          <w:szCs w:val="24"/>
        </w:rPr>
        <w:t>Lic. Mauricio Vila Dosal</w:t>
      </w:r>
      <w:r w:rsidR="005939EC" w:rsidRPr="009A3CEF">
        <w:rPr>
          <w:rFonts w:ascii="Arial" w:hAnsi="Arial" w:cs="Arial"/>
          <w:b/>
          <w:sz w:val="24"/>
          <w:szCs w:val="24"/>
        </w:rPr>
        <w:br/>
        <w:t>Gobernador del estado de Yucatán</w:t>
      </w:r>
    </w:p>
    <w:p w:rsidR="001122B8" w:rsidRPr="009A3CEF" w:rsidRDefault="001122B8" w:rsidP="007D4097">
      <w:pPr>
        <w:spacing w:before="100" w:beforeAutospacing="1" w:after="100" w:afterAutospacing="1" w:line="240" w:lineRule="auto"/>
        <w:jc w:val="center"/>
        <w:rPr>
          <w:rFonts w:ascii="Arial" w:hAnsi="Arial" w:cs="Arial"/>
          <w:sz w:val="24"/>
          <w:szCs w:val="24"/>
        </w:rPr>
      </w:pPr>
    </w:p>
    <w:p w:rsidR="00B13C9C" w:rsidRDefault="00EF2122" w:rsidP="00BB4C48">
      <w:pPr>
        <w:spacing w:before="100" w:beforeAutospacing="1" w:after="100" w:afterAutospacing="1" w:line="240" w:lineRule="auto"/>
        <w:outlineLvl w:val="0"/>
        <w:rPr>
          <w:rFonts w:ascii="Arial" w:hAnsi="Arial" w:cs="Arial"/>
          <w:b/>
          <w:sz w:val="24"/>
          <w:szCs w:val="24"/>
        </w:rPr>
      </w:pPr>
      <w:r>
        <w:rPr>
          <w:rFonts w:ascii="Arial" w:hAnsi="Arial" w:cs="Arial"/>
          <w:b/>
          <w:sz w:val="24"/>
          <w:szCs w:val="24"/>
        </w:rPr>
        <w:t>Abog</w:t>
      </w:r>
      <w:r w:rsidR="00BB4C48">
        <w:rPr>
          <w:rFonts w:ascii="Arial" w:hAnsi="Arial" w:cs="Arial"/>
          <w:b/>
          <w:sz w:val="24"/>
          <w:szCs w:val="24"/>
        </w:rPr>
        <w:t>. María Dolores Fritz Sierra</w:t>
      </w:r>
      <w:r w:rsidR="005939EC" w:rsidRPr="009A3CEF">
        <w:rPr>
          <w:rFonts w:ascii="Arial" w:hAnsi="Arial" w:cs="Arial"/>
          <w:b/>
          <w:sz w:val="24"/>
          <w:szCs w:val="24"/>
        </w:rPr>
        <w:br/>
        <w:t>Secretari</w:t>
      </w:r>
      <w:r w:rsidR="00BB4C48">
        <w:rPr>
          <w:rFonts w:ascii="Arial" w:hAnsi="Arial" w:cs="Arial"/>
          <w:b/>
          <w:sz w:val="24"/>
          <w:szCs w:val="24"/>
        </w:rPr>
        <w:t>a</w:t>
      </w:r>
      <w:r w:rsidR="005939EC" w:rsidRPr="009A3CEF">
        <w:rPr>
          <w:rFonts w:ascii="Arial" w:hAnsi="Arial" w:cs="Arial"/>
          <w:b/>
          <w:sz w:val="24"/>
          <w:szCs w:val="24"/>
        </w:rPr>
        <w:t xml:space="preserve"> general de Gobierno</w:t>
      </w:r>
    </w:p>
    <w:p w:rsidR="00A91050" w:rsidRDefault="00A91050" w:rsidP="00BB4C48">
      <w:pPr>
        <w:spacing w:before="100" w:beforeAutospacing="1" w:after="100" w:afterAutospacing="1" w:line="240" w:lineRule="auto"/>
        <w:outlineLvl w:val="0"/>
        <w:rPr>
          <w:rFonts w:ascii="Arial" w:hAnsi="Arial" w:cs="Arial"/>
          <w:b/>
          <w:sz w:val="24"/>
          <w:szCs w:val="24"/>
        </w:rPr>
      </w:pPr>
    </w:p>
    <w:p w:rsidR="00A91050" w:rsidRDefault="00A91050" w:rsidP="00BB4C48">
      <w:pPr>
        <w:spacing w:before="100" w:beforeAutospacing="1" w:after="100" w:afterAutospacing="1" w:line="240" w:lineRule="auto"/>
        <w:outlineLvl w:val="0"/>
        <w:rPr>
          <w:rFonts w:ascii="Arial" w:hAnsi="Arial" w:cs="Arial"/>
          <w:b/>
          <w:sz w:val="24"/>
          <w:szCs w:val="24"/>
        </w:rPr>
      </w:pPr>
    </w:p>
    <w:p w:rsidR="00A91050" w:rsidRDefault="00A91050" w:rsidP="00BB4C48">
      <w:pPr>
        <w:spacing w:before="100" w:beforeAutospacing="1" w:after="100" w:afterAutospacing="1" w:line="240" w:lineRule="auto"/>
        <w:outlineLvl w:val="0"/>
        <w:rPr>
          <w:rFonts w:ascii="Arial" w:hAnsi="Arial" w:cs="Arial"/>
          <w:b/>
          <w:sz w:val="24"/>
          <w:szCs w:val="24"/>
        </w:rPr>
      </w:pPr>
    </w:p>
    <w:p w:rsidR="00A91050" w:rsidRPr="000270E8" w:rsidRDefault="00A91050" w:rsidP="00A91050">
      <w:pPr>
        <w:tabs>
          <w:tab w:val="left" w:pos="5529"/>
        </w:tabs>
        <w:spacing w:before="100" w:beforeAutospacing="1" w:after="100" w:afterAutospacing="1" w:line="240" w:lineRule="auto"/>
        <w:jc w:val="center"/>
        <w:outlineLvl w:val="0"/>
        <w:rPr>
          <w:rFonts w:ascii="Arial" w:hAnsi="Arial" w:cs="Arial"/>
          <w:b/>
        </w:rPr>
      </w:pPr>
      <w:r w:rsidRPr="000270E8">
        <w:rPr>
          <w:rFonts w:ascii="Arial" w:hAnsi="Arial" w:cs="Arial"/>
          <w:b/>
          <w:sz w:val="24"/>
        </w:rPr>
        <w:lastRenderedPageBreak/>
        <w:t>Anexo I</w:t>
      </w:r>
    </w:p>
    <w:tbl>
      <w:tblPr>
        <w:tblW w:w="5000" w:type="pct"/>
        <w:tblLayout w:type="fixed"/>
        <w:tblCellMar>
          <w:left w:w="70" w:type="dxa"/>
          <w:right w:w="70" w:type="dxa"/>
        </w:tblCellMar>
        <w:tblLook w:val="04A0"/>
      </w:tblPr>
      <w:tblGrid>
        <w:gridCol w:w="2232"/>
        <w:gridCol w:w="1226"/>
        <w:gridCol w:w="1137"/>
        <w:gridCol w:w="1138"/>
        <w:gridCol w:w="1050"/>
        <w:gridCol w:w="1137"/>
        <w:gridCol w:w="1058"/>
      </w:tblGrid>
      <w:tr w:rsidR="00A91050" w:rsidRPr="000270E8" w:rsidTr="000B4EA0">
        <w:trPr>
          <w:trHeight w:val="330"/>
        </w:trPr>
        <w:tc>
          <w:tcPr>
            <w:tcW w:w="5000" w:type="pct"/>
            <w:gridSpan w:val="7"/>
            <w:tcBorders>
              <w:top w:val="single" w:sz="12" w:space="0" w:color="auto"/>
              <w:left w:val="single" w:sz="12" w:space="0" w:color="auto"/>
              <w:bottom w:val="single" w:sz="12" w:space="0" w:color="auto"/>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Estado de Yucatán</w:t>
            </w:r>
          </w:p>
        </w:tc>
      </w:tr>
      <w:tr w:rsidR="00A91050" w:rsidRPr="000270E8" w:rsidTr="000B4EA0">
        <w:trPr>
          <w:trHeight w:val="330"/>
        </w:trPr>
        <w:tc>
          <w:tcPr>
            <w:tcW w:w="5000" w:type="pct"/>
            <w:gridSpan w:val="7"/>
            <w:tcBorders>
              <w:top w:val="single" w:sz="12" w:space="0" w:color="auto"/>
              <w:left w:val="single" w:sz="12" w:space="0" w:color="auto"/>
              <w:bottom w:val="single" w:sz="12" w:space="0" w:color="auto"/>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Proyecciones de Ingresos - LDF</w:t>
            </w:r>
          </w:p>
        </w:tc>
      </w:tr>
      <w:tr w:rsidR="00A91050" w:rsidRPr="000270E8" w:rsidTr="000B4EA0">
        <w:trPr>
          <w:trHeight w:val="330"/>
        </w:trPr>
        <w:tc>
          <w:tcPr>
            <w:tcW w:w="5000" w:type="pct"/>
            <w:gridSpan w:val="7"/>
            <w:tcBorders>
              <w:top w:val="nil"/>
              <w:left w:val="single" w:sz="12" w:space="0" w:color="auto"/>
              <w:bottom w:val="nil"/>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(PESOS)</w:t>
            </w:r>
          </w:p>
        </w:tc>
      </w:tr>
      <w:tr w:rsidR="00A91050" w:rsidRPr="000270E8" w:rsidTr="000B4EA0">
        <w:trPr>
          <w:trHeight w:val="330"/>
        </w:trPr>
        <w:tc>
          <w:tcPr>
            <w:tcW w:w="5000" w:type="pct"/>
            <w:gridSpan w:val="7"/>
            <w:tcBorders>
              <w:top w:val="single" w:sz="12" w:space="0" w:color="auto"/>
              <w:left w:val="single" w:sz="12" w:space="0" w:color="auto"/>
              <w:bottom w:val="single" w:sz="12" w:space="0" w:color="auto"/>
              <w:right w:val="single" w:sz="12" w:space="0" w:color="000000"/>
            </w:tcBorders>
            <w:shd w:val="clear" w:color="auto" w:fill="1F497D" w:themeFill="text2"/>
            <w:noWrap/>
            <w:vAlign w:val="center"/>
            <w:hideMark/>
          </w:tcPr>
          <w:p w:rsidR="00A91050" w:rsidRPr="00CD03D3" w:rsidRDefault="00A91050" w:rsidP="000B4EA0">
            <w:pPr>
              <w:spacing w:line="240" w:lineRule="auto"/>
              <w:jc w:val="center"/>
              <w:rPr>
                <w:rFonts w:eastAsia="Times New Roman" w:cstheme="minorHAnsi"/>
                <w:b/>
                <w:bCs/>
                <w:color w:val="FFFFFF" w:themeColor="background1"/>
                <w:sz w:val="20"/>
                <w:szCs w:val="20"/>
                <w:lang w:eastAsia="es-MX"/>
              </w:rPr>
            </w:pPr>
            <w:r w:rsidRPr="00CD03D3">
              <w:rPr>
                <w:rFonts w:eastAsia="Times New Roman" w:cstheme="minorHAnsi"/>
                <w:b/>
                <w:bCs/>
                <w:color w:val="FFFFFF" w:themeColor="background1"/>
                <w:sz w:val="20"/>
                <w:szCs w:val="20"/>
                <w:lang w:eastAsia="es-MX"/>
              </w:rPr>
              <w:t xml:space="preserve">(CIFRAS NOMINALES) </w:t>
            </w:r>
          </w:p>
        </w:tc>
      </w:tr>
      <w:tr w:rsidR="00A91050" w:rsidRPr="000270E8" w:rsidTr="000B4EA0">
        <w:trPr>
          <w:trHeight w:val="675"/>
        </w:trPr>
        <w:tc>
          <w:tcPr>
            <w:tcW w:w="124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Concepto (b)</w:t>
            </w:r>
          </w:p>
        </w:tc>
        <w:tc>
          <w:tcPr>
            <w:tcW w:w="68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2019</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2020</w:t>
            </w:r>
          </w:p>
        </w:tc>
        <w:tc>
          <w:tcPr>
            <w:tcW w:w="63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2021</w:t>
            </w:r>
          </w:p>
        </w:tc>
        <w:tc>
          <w:tcPr>
            <w:tcW w:w="5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2022</w:t>
            </w:r>
          </w:p>
        </w:tc>
        <w:tc>
          <w:tcPr>
            <w:tcW w:w="63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2023</w:t>
            </w:r>
          </w:p>
        </w:tc>
        <w:tc>
          <w:tcPr>
            <w:tcW w:w="589"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2024</w:t>
            </w:r>
          </w:p>
        </w:tc>
      </w:tr>
      <w:tr w:rsidR="00A91050" w:rsidRPr="000270E8" w:rsidTr="000B4EA0">
        <w:trPr>
          <w:trHeight w:val="315"/>
        </w:trPr>
        <w:tc>
          <w:tcPr>
            <w:tcW w:w="124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8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3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34"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585"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633"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c>
          <w:tcPr>
            <w:tcW w:w="589" w:type="pct"/>
            <w:vMerge/>
            <w:tcBorders>
              <w:top w:val="nil"/>
              <w:left w:val="single" w:sz="8" w:space="0" w:color="auto"/>
              <w:bottom w:val="single" w:sz="8" w:space="0" w:color="000000"/>
              <w:right w:val="single" w:sz="8" w:space="0" w:color="auto"/>
            </w:tcBorders>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auto" w:fill="C6D9F1" w:themeFill="text2" w:themeFillTint="33"/>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1.   Ingresos de Libre Disposición (1=A+B+C+D+E+F+G+H+I+J+K+L)</w:t>
            </w:r>
          </w:p>
        </w:tc>
        <w:tc>
          <w:tcPr>
            <w:tcW w:w="68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22,148,351,672.00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23,716,840,015.47 </w:t>
            </w:r>
          </w:p>
        </w:tc>
        <w:tc>
          <w:tcPr>
            <w:tcW w:w="634"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25,416,326,144.69 </w:t>
            </w:r>
          </w:p>
        </w:tc>
        <w:tc>
          <w:tcPr>
            <w:tcW w:w="585"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27,259,814,228.80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29,261,828,760.36 </w:t>
            </w:r>
          </w:p>
        </w:tc>
        <w:tc>
          <w:tcPr>
            <w:tcW w:w="589"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31,438,616,626.07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A.     Impuestos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2,083,701,944.00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2,166,409,471.31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2,252,399,874.60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2,341,803,459.73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2,434,755,704.73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2,531,397,465.09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B.     Cuotas y Aportaciones de Seguridad Social</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1,026,632,941.00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1,061,538,460.99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1,097,630,768.67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1,134,950,214.80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1,173,538,522.11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1,213,438,831.86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C.    Contribuciones de Mejoras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D.    Derechos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1,353,895,149.00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1,555,301,992.59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1,786,670,326.68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2,052,457,253.60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2,357,782,918.85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2,708,529,146.06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E.     Productos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259,434,828.00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268,255,612.15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277,376,302.97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286,807,097.27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296,558,538.57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306,641,528.88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F.     Aprovechamientos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86,935,965.00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101,603,441.49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118,745,553.96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138,779,812.75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162,194,168.83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189,558,898.25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G.    Ingresos por Venta de Bienes y Prestación de Servicios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2,099,926,716.00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2,171,324,224.34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2,245,149,247.97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2,321,484,322.40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2,400,414,789.36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2,482,028,892.20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H.    Participaciones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14,813,109,213.00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15,895,481,834.11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17,056,941,868.54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18,303,268,120.03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19,640,661,641.20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21,075,776,586.70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I.      Incentivos Derivados de la Colaboración Fiscal</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424,714,916.00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496,924,978.48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581,412,201.31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680,263,948.22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795,922,476.70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931,245,277.03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J.     Transferencias y Asignaciones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K.     Convenios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w:t>
            </w:r>
            <w:r w:rsidRPr="000270E8">
              <w:rPr>
                <w:rFonts w:eastAsia="Times New Roman" w:cstheme="minorHAnsi"/>
                <w:color w:val="000000"/>
                <w:sz w:val="20"/>
                <w:szCs w:val="20"/>
                <w:lang w:eastAsia="es-MX"/>
              </w:rPr>
              <w:lastRenderedPageBreak/>
              <w:t xml:space="preserve">-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xml:space="preserve">                            </w:t>
            </w:r>
            <w:r w:rsidRPr="000270E8">
              <w:rPr>
                <w:rFonts w:eastAsia="Times New Roman" w:cstheme="minorHAnsi"/>
                <w:color w:val="000000"/>
                <w:sz w:val="20"/>
                <w:szCs w:val="20"/>
                <w:lang w:eastAsia="es-MX"/>
              </w:rPr>
              <w:lastRenderedPageBreak/>
              <w:t xml:space="preserve">-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L.     Otros Ingresos de Libre Disposición</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auto" w:fill="C6D9F1" w:themeFill="text2" w:themeFillTint="33"/>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2.   Transferencias Federales Etiquetadas (2=A+B+C+D+E)</w:t>
            </w:r>
          </w:p>
        </w:tc>
        <w:tc>
          <w:tcPr>
            <w:tcW w:w="68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18,441,656,992.00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19,258,609,119.90 </w:t>
            </w:r>
          </w:p>
        </w:tc>
        <w:tc>
          <w:tcPr>
            <w:tcW w:w="634"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20,117,439,111.41 </w:t>
            </w:r>
          </w:p>
        </w:tc>
        <w:tc>
          <w:tcPr>
            <w:tcW w:w="585"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21,020,346,491.40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21,969,646,816.16 </w:t>
            </w:r>
          </w:p>
        </w:tc>
        <w:tc>
          <w:tcPr>
            <w:tcW w:w="589"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22,967,777,803.60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A.     Aportaciones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13,124,756,419.00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13,807,937,499.27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14,526,680,107.20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15,282,835,321.93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16,078,350,576.58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16,915,274,673.69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B.    Convenios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3,411,316,692.00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3,437,080,736.30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3,463,039,364.11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3,489,194,045.03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3,515,546,259.75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3,542,097,500.16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C.    Fondos Distintos de Aportaciones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D.    Transferencias, Asignaciones, Subsidios y Subvenciones, y Pensiones y Jubilaciones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1,905,583,881.00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2,013,590,884.33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2,127,719,640.09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2,248,317,124.44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2,375,749,979.83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2,510,405,629.75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E.    Otras Transferencias Federales Etiquetadas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3.   Ingresos Derivados de Financiamientos (3=A)</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A.    Ingresos Derivados de Financiamientos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xml:space="preserve">                            -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auto" w:fill="C6D9F1" w:themeFill="text2" w:themeFillTint="33"/>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4.   Total de Ingresos Proyectados (4=1+2+3)</w:t>
            </w:r>
          </w:p>
        </w:tc>
        <w:tc>
          <w:tcPr>
            <w:tcW w:w="68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40,590,008,664.00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42,975,449,135.37 </w:t>
            </w:r>
          </w:p>
        </w:tc>
        <w:tc>
          <w:tcPr>
            <w:tcW w:w="634"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45,533,765,256.10 </w:t>
            </w:r>
          </w:p>
        </w:tc>
        <w:tc>
          <w:tcPr>
            <w:tcW w:w="585"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48,280,160,720.20 </w:t>
            </w:r>
          </w:p>
        </w:tc>
        <w:tc>
          <w:tcPr>
            <w:tcW w:w="633"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51,231,475,576.51 </w:t>
            </w:r>
          </w:p>
        </w:tc>
        <w:tc>
          <w:tcPr>
            <w:tcW w:w="589" w:type="pct"/>
            <w:tcBorders>
              <w:top w:val="nil"/>
              <w:left w:val="nil"/>
              <w:bottom w:val="nil"/>
              <w:right w:val="single" w:sz="8" w:space="0" w:color="auto"/>
            </w:tcBorders>
            <w:shd w:val="clear" w:color="auto" w:fill="C6D9F1" w:themeFill="text2" w:themeFillTint="33"/>
            <w:vAlign w:val="center"/>
            <w:hideMark/>
          </w:tcPr>
          <w:p w:rsidR="00A91050" w:rsidRPr="000270E8" w:rsidRDefault="00A91050" w:rsidP="000B4EA0">
            <w:pPr>
              <w:spacing w:line="240" w:lineRule="auto"/>
              <w:jc w:val="center"/>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 54,406,394,429.67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jc w:val="both"/>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Datos Informativos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1. Ingresos Derivados de Financiamientos con Fuente de Pago de Recursos de Libre Disposición</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t>2. Ingresos Derivados de Financiamientos con Fuente de Pago de Transferencias Federales Etiquetadas</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15"/>
        </w:trPr>
        <w:tc>
          <w:tcPr>
            <w:tcW w:w="1243" w:type="pct"/>
            <w:tcBorders>
              <w:top w:val="nil"/>
              <w:left w:val="single" w:sz="8" w:space="0" w:color="auto"/>
              <w:bottom w:val="nil"/>
              <w:right w:val="single" w:sz="8" w:space="0" w:color="auto"/>
            </w:tcBorders>
            <w:shd w:val="clear" w:color="000000" w:fill="FFFFFF"/>
            <w:noWrap/>
            <w:vAlign w:val="center"/>
            <w:hideMark/>
          </w:tcPr>
          <w:p w:rsidR="00A91050" w:rsidRPr="000270E8" w:rsidRDefault="00A91050" w:rsidP="000B4EA0">
            <w:pPr>
              <w:spacing w:line="240" w:lineRule="auto"/>
              <w:rPr>
                <w:rFonts w:eastAsia="Times New Roman" w:cstheme="minorHAnsi"/>
                <w:b/>
                <w:bCs/>
                <w:color w:val="000000"/>
                <w:sz w:val="20"/>
                <w:szCs w:val="20"/>
                <w:lang w:eastAsia="es-MX"/>
              </w:rPr>
            </w:pPr>
            <w:r w:rsidRPr="000270E8">
              <w:rPr>
                <w:rFonts w:eastAsia="Times New Roman" w:cstheme="minorHAnsi"/>
                <w:b/>
                <w:bCs/>
                <w:color w:val="000000"/>
                <w:sz w:val="20"/>
                <w:szCs w:val="20"/>
                <w:lang w:eastAsia="es-MX"/>
              </w:rPr>
              <w:t xml:space="preserve">3. Ingresos Derivados de Financiamiento (3 = 1 + </w:t>
            </w:r>
            <w:r w:rsidRPr="000270E8">
              <w:rPr>
                <w:rFonts w:eastAsia="Times New Roman" w:cstheme="minorHAnsi"/>
                <w:b/>
                <w:bCs/>
                <w:color w:val="000000"/>
                <w:sz w:val="20"/>
                <w:szCs w:val="20"/>
                <w:lang w:eastAsia="es-MX"/>
              </w:rPr>
              <w:lastRenderedPageBreak/>
              <w:t>2)</w:t>
            </w:r>
          </w:p>
        </w:tc>
        <w:tc>
          <w:tcPr>
            <w:tcW w:w="68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nil"/>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r w:rsidR="00A91050" w:rsidRPr="000270E8" w:rsidTr="000B4EA0">
        <w:trPr>
          <w:trHeight w:val="330"/>
        </w:trPr>
        <w:tc>
          <w:tcPr>
            <w:tcW w:w="1243" w:type="pct"/>
            <w:tcBorders>
              <w:top w:val="nil"/>
              <w:left w:val="single" w:sz="8" w:space="0" w:color="auto"/>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rPr>
                <w:rFonts w:eastAsia="Times New Roman" w:cstheme="minorHAnsi"/>
                <w:color w:val="000000"/>
                <w:sz w:val="20"/>
                <w:szCs w:val="20"/>
                <w:lang w:eastAsia="es-MX"/>
              </w:rPr>
            </w:pPr>
            <w:r w:rsidRPr="000270E8">
              <w:rPr>
                <w:rFonts w:eastAsia="Times New Roman" w:cstheme="minorHAnsi"/>
                <w:color w:val="000000"/>
                <w:sz w:val="20"/>
                <w:szCs w:val="20"/>
                <w:lang w:eastAsia="es-MX"/>
              </w:rPr>
              <w:lastRenderedPageBreak/>
              <w:t> </w:t>
            </w:r>
          </w:p>
        </w:tc>
        <w:tc>
          <w:tcPr>
            <w:tcW w:w="683"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4"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5"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633"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c>
          <w:tcPr>
            <w:tcW w:w="589" w:type="pct"/>
            <w:tcBorders>
              <w:top w:val="nil"/>
              <w:left w:val="nil"/>
              <w:bottom w:val="single" w:sz="8" w:space="0" w:color="auto"/>
              <w:right w:val="single" w:sz="8" w:space="0" w:color="auto"/>
            </w:tcBorders>
            <w:shd w:val="clear" w:color="000000" w:fill="FFFFFF"/>
            <w:vAlign w:val="center"/>
            <w:hideMark/>
          </w:tcPr>
          <w:p w:rsidR="00A91050" w:rsidRPr="000270E8" w:rsidRDefault="00A91050" w:rsidP="000B4EA0">
            <w:pPr>
              <w:spacing w:line="240" w:lineRule="auto"/>
              <w:jc w:val="center"/>
              <w:rPr>
                <w:rFonts w:eastAsia="Times New Roman" w:cstheme="minorHAnsi"/>
                <w:color w:val="000000"/>
                <w:sz w:val="20"/>
                <w:szCs w:val="20"/>
                <w:lang w:eastAsia="es-MX"/>
              </w:rPr>
            </w:pPr>
            <w:r w:rsidRPr="000270E8">
              <w:rPr>
                <w:rFonts w:eastAsia="Times New Roman" w:cstheme="minorHAnsi"/>
                <w:color w:val="000000"/>
                <w:sz w:val="20"/>
                <w:szCs w:val="20"/>
                <w:lang w:eastAsia="es-MX"/>
              </w:rPr>
              <w:t> </w:t>
            </w:r>
          </w:p>
        </w:tc>
      </w:tr>
    </w:tbl>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Default="00A91050" w:rsidP="00A91050">
      <w:pPr>
        <w:tabs>
          <w:tab w:val="left" w:pos="5529"/>
        </w:tabs>
        <w:spacing w:before="100" w:beforeAutospacing="1" w:after="100" w:afterAutospacing="1" w:line="240" w:lineRule="auto"/>
        <w:jc w:val="center"/>
        <w:outlineLvl w:val="0"/>
        <w:rPr>
          <w:rFonts w:ascii="Arial" w:hAnsi="Arial" w:cs="Arial"/>
          <w:b/>
          <w:sz w:val="24"/>
        </w:rPr>
      </w:pPr>
    </w:p>
    <w:p w:rsidR="00A91050" w:rsidRPr="00CD03D3" w:rsidRDefault="00A91050" w:rsidP="00A91050">
      <w:pPr>
        <w:tabs>
          <w:tab w:val="left" w:pos="5529"/>
        </w:tabs>
        <w:spacing w:before="100" w:beforeAutospacing="1" w:after="100" w:afterAutospacing="1" w:line="240" w:lineRule="auto"/>
        <w:jc w:val="center"/>
        <w:outlineLvl w:val="0"/>
        <w:rPr>
          <w:rFonts w:ascii="Arial" w:hAnsi="Arial" w:cs="Arial"/>
          <w:b/>
          <w:sz w:val="24"/>
        </w:rPr>
      </w:pPr>
      <w:r w:rsidRPr="00CD03D3">
        <w:rPr>
          <w:rFonts w:ascii="Arial" w:hAnsi="Arial" w:cs="Arial"/>
          <w:b/>
          <w:sz w:val="24"/>
        </w:rPr>
        <w:lastRenderedPageBreak/>
        <w:t>Anexo II</w:t>
      </w:r>
    </w:p>
    <w:tbl>
      <w:tblPr>
        <w:tblW w:w="5000" w:type="pct"/>
        <w:tblLayout w:type="fixed"/>
        <w:tblCellMar>
          <w:left w:w="70" w:type="dxa"/>
          <w:right w:w="70" w:type="dxa"/>
        </w:tblCellMar>
        <w:tblLook w:val="04A0"/>
      </w:tblPr>
      <w:tblGrid>
        <w:gridCol w:w="2494"/>
        <w:gridCol w:w="1225"/>
        <w:gridCol w:w="1052"/>
        <w:gridCol w:w="1050"/>
        <w:gridCol w:w="961"/>
        <w:gridCol w:w="1138"/>
        <w:gridCol w:w="1058"/>
      </w:tblGrid>
      <w:tr w:rsidR="00A91050" w:rsidRPr="00CD03D3" w:rsidTr="000B4EA0">
        <w:trPr>
          <w:trHeight w:val="315"/>
        </w:trPr>
        <w:tc>
          <w:tcPr>
            <w:tcW w:w="5000" w:type="pct"/>
            <w:gridSpan w:val="7"/>
            <w:tcBorders>
              <w:top w:val="single" w:sz="8" w:space="0" w:color="auto"/>
              <w:left w:val="single" w:sz="8" w:space="0" w:color="auto"/>
              <w:bottom w:val="nil"/>
              <w:right w:val="single" w:sz="8" w:space="0" w:color="000000"/>
            </w:tcBorders>
            <w:shd w:val="clear" w:color="000000" w:fill="16365C"/>
            <w:noWrap/>
            <w:vAlign w:val="center"/>
            <w:hideMark/>
          </w:tcPr>
          <w:p w:rsidR="00A91050" w:rsidRPr="00CD03D3" w:rsidRDefault="00A91050" w:rsidP="000B4EA0">
            <w:pPr>
              <w:jc w:val="center"/>
              <w:rPr>
                <w:rFonts w:cstheme="minorHAnsi"/>
                <w:b/>
                <w:bCs/>
                <w:color w:val="FFFFFF"/>
                <w:sz w:val="18"/>
                <w:szCs w:val="18"/>
              </w:rPr>
            </w:pPr>
            <w:r w:rsidRPr="00CD03D3">
              <w:rPr>
                <w:rFonts w:cstheme="minorHAnsi"/>
                <w:b/>
                <w:bCs/>
                <w:color w:val="FFFFFF"/>
                <w:sz w:val="18"/>
                <w:szCs w:val="18"/>
              </w:rPr>
              <w:t>Estado de Yucatán</w:t>
            </w:r>
          </w:p>
        </w:tc>
      </w:tr>
      <w:tr w:rsidR="00A91050" w:rsidRPr="00CD03D3" w:rsidTr="000B4EA0">
        <w:trPr>
          <w:trHeight w:val="315"/>
        </w:trPr>
        <w:tc>
          <w:tcPr>
            <w:tcW w:w="5000" w:type="pct"/>
            <w:gridSpan w:val="7"/>
            <w:tcBorders>
              <w:top w:val="single" w:sz="8" w:space="0" w:color="auto"/>
              <w:left w:val="single" w:sz="8" w:space="0" w:color="auto"/>
              <w:bottom w:val="nil"/>
              <w:right w:val="single" w:sz="8" w:space="0" w:color="000000"/>
            </w:tcBorders>
            <w:shd w:val="clear" w:color="000000" w:fill="16365C"/>
            <w:noWrap/>
            <w:vAlign w:val="center"/>
            <w:hideMark/>
          </w:tcPr>
          <w:p w:rsidR="00A91050" w:rsidRPr="00CD03D3" w:rsidRDefault="00A91050" w:rsidP="000B4EA0">
            <w:pPr>
              <w:jc w:val="center"/>
              <w:rPr>
                <w:rFonts w:cstheme="minorHAnsi"/>
                <w:b/>
                <w:bCs/>
                <w:color w:val="FFFFFF"/>
                <w:sz w:val="18"/>
                <w:szCs w:val="18"/>
              </w:rPr>
            </w:pPr>
            <w:r w:rsidRPr="00CD03D3">
              <w:rPr>
                <w:rFonts w:cstheme="minorHAnsi"/>
                <w:b/>
                <w:bCs/>
                <w:color w:val="FFFFFF"/>
                <w:sz w:val="18"/>
                <w:szCs w:val="18"/>
              </w:rPr>
              <w:t>Resultados de Ingresos - LDF</w:t>
            </w:r>
          </w:p>
        </w:tc>
      </w:tr>
      <w:tr w:rsidR="00A91050" w:rsidRPr="00CD03D3" w:rsidTr="000B4EA0">
        <w:trPr>
          <w:trHeight w:val="315"/>
        </w:trPr>
        <w:tc>
          <w:tcPr>
            <w:tcW w:w="5000" w:type="pct"/>
            <w:gridSpan w:val="7"/>
            <w:tcBorders>
              <w:top w:val="single" w:sz="8" w:space="0" w:color="auto"/>
              <w:left w:val="single" w:sz="8" w:space="0" w:color="auto"/>
              <w:bottom w:val="nil"/>
              <w:right w:val="single" w:sz="8" w:space="0" w:color="000000"/>
            </w:tcBorders>
            <w:shd w:val="clear" w:color="000000" w:fill="16365C"/>
            <w:noWrap/>
            <w:vAlign w:val="center"/>
            <w:hideMark/>
          </w:tcPr>
          <w:p w:rsidR="00A91050" w:rsidRPr="00CD03D3" w:rsidRDefault="00A91050" w:rsidP="000B4EA0">
            <w:pPr>
              <w:jc w:val="center"/>
              <w:rPr>
                <w:rFonts w:cstheme="minorHAnsi"/>
                <w:b/>
                <w:bCs/>
                <w:color w:val="FFFFFF"/>
                <w:sz w:val="18"/>
                <w:szCs w:val="18"/>
              </w:rPr>
            </w:pPr>
            <w:r w:rsidRPr="00CD03D3">
              <w:rPr>
                <w:rFonts w:cstheme="minorHAnsi"/>
                <w:b/>
                <w:bCs/>
                <w:color w:val="FFFFFF"/>
                <w:sz w:val="18"/>
                <w:szCs w:val="18"/>
              </w:rPr>
              <w:t>(PESOS)</w:t>
            </w:r>
          </w:p>
        </w:tc>
      </w:tr>
      <w:tr w:rsidR="00A91050" w:rsidRPr="00CD03D3" w:rsidTr="000B4EA0">
        <w:trPr>
          <w:trHeight w:val="315"/>
        </w:trPr>
        <w:tc>
          <w:tcPr>
            <w:tcW w:w="1389"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Concepto (b)</w:t>
            </w:r>
          </w:p>
        </w:tc>
        <w:tc>
          <w:tcPr>
            <w:tcW w:w="682"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2013</w:t>
            </w:r>
          </w:p>
        </w:tc>
        <w:tc>
          <w:tcPr>
            <w:tcW w:w="586"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2014</w:t>
            </w:r>
          </w:p>
        </w:tc>
        <w:tc>
          <w:tcPr>
            <w:tcW w:w="585"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2015</w:t>
            </w:r>
          </w:p>
        </w:tc>
        <w:tc>
          <w:tcPr>
            <w:tcW w:w="535"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2016</w:t>
            </w:r>
          </w:p>
        </w:tc>
        <w:tc>
          <w:tcPr>
            <w:tcW w:w="634"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2017</w:t>
            </w:r>
          </w:p>
        </w:tc>
        <w:tc>
          <w:tcPr>
            <w:tcW w:w="589" w:type="pct"/>
            <w:tcBorders>
              <w:top w:val="single" w:sz="8" w:space="0" w:color="auto"/>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2018</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1.  Ingresos de Libre Disposición (1=A+B+C+D+E+F+G+H+I+J+K+L)</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12,054,485,000.42</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13,697,075,445.20</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13,777,670,044.09</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15,146,574,590.65</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17,315,059,454.35</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21,897,168,478.42</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A.    Impuestos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1,182,223,780.97</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1,619,867,725.80</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1,724,952,981.99</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1,730,407,440.47</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1,847,773,499.65</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1,892,776,554.56</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B.    Cuotas y Aportaciones de Seguridad Social</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C.    Contribuciones de Mejoras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D.    Derechos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499,507,465.25</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665,768,424.16</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689,768,965.11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871,109,481.02</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1,299,332,443.47</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999,287,521.86</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E.    Productos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45,881,184.92</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33,649,843.52</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110,372,249.67</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209,336,159.43</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435,414,737.86</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936,987,469.04</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F.    Aprovechamientos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97,798,071.28</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176,220,788.01</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177,984,810.69</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110,745,298.80</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200,286,047.56</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213,243,099.59</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G.    Ingresos por Venta de Bienes y Prestación de Servicios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67,758.64</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183,628,744.66</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368,439,652.81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368,475,075.45</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462,050,091.30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3,126,559,657.00</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H.    Participaciones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10,002,080,245.87</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10,609,044,682.37</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10,337,711,731.01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11,488,026,060.03</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12,608,152,543.21</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14,230,746,944.01</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I.     Incentivos Derivados de la Colaboración Fiscal</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226,926,493.49</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408,895,236.68</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368,439,652.81</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368,475,075.45</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462,050,091.30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497,567,232.37</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J.     Transferencias y Asignaciones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K.    Convenios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lastRenderedPageBreak/>
              <w:t>L.     Otros Ingresos de Libre Disposición</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2.  Transferencias Federales Etiquetadas</w:t>
            </w:r>
            <w:r w:rsidRPr="00CD03D3">
              <w:rPr>
                <w:rFonts w:cstheme="minorHAnsi"/>
                <w:b/>
                <w:bCs/>
                <w:color w:val="000000"/>
                <w:sz w:val="18"/>
                <w:szCs w:val="18"/>
                <w:vertAlign w:val="superscript"/>
              </w:rPr>
              <w:t xml:space="preserve"> </w:t>
            </w:r>
            <w:r w:rsidRPr="00CD03D3">
              <w:rPr>
                <w:rFonts w:cstheme="minorHAnsi"/>
                <w:b/>
                <w:bCs/>
                <w:color w:val="000000"/>
                <w:sz w:val="18"/>
                <w:szCs w:val="18"/>
              </w:rPr>
              <w:t>(2=A+B+C+D+E)</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16,304,616,102.18</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17,321,751,338.56</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19,553,589,557.54</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19,704,731,745.54</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20,520,237,193.40</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19,680,320,067.78</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A.    Aportaciones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9,382,179,915.02</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9,951,526,431.47</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10,770,581,127.18</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11,168,380,800.87</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11,883,112,873.00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12,091,816,810.46</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B.    Convenios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5,486,603,646.42</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5,819,551,714.09</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7,085,135,995.36</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6,752,661,701.67</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6,741,599,374.40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5,696,945,436.32</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C.    Fondos Distintos de Aportaciones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54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D.    Transferencias, Asignaciones, Subsidios y Subvenciones, y Pensiones y Jubilaciones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1,435,832,540.75</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1,550,673,193.00</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1,697,872,435.00</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1,783,689,243.00</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1,895,524,946.00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1,891,557,821.00</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E.    Otras Transferencias Federales Etiquetadas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3.  Ingresos Derivados de Financiamientos (3=A)</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1,950,425,882.23</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89,397,977.14</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1,286,169,773.68</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880,113,620.36</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2,187,200,000.00</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ind w:firstLineChars="400" w:firstLine="720"/>
              <w:rPr>
                <w:rFonts w:cstheme="minorHAnsi"/>
                <w:color w:val="000000"/>
                <w:sz w:val="18"/>
                <w:szCs w:val="18"/>
              </w:rPr>
            </w:pPr>
            <w:r w:rsidRPr="00CD03D3">
              <w:rPr>
                <w:rFonts w:cstheme="minorHAnsi"/>
                <w:color w:val="000000"/>
                <w:sz w:val="18"/>
                <w:szCs w:val="18"/>
              </w:rPr>
              <w:t>A. Ingresos Derivados de Financiamientos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1,950,425,882.23</w:t>
            </w: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89,397,977.14</w:t>
            </w: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1,286,169,773.68</w:t>
            </w: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880,113,620.36</w:t>
            </w: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2,187,200,000.00</w:t>
            </w: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r w:rsidRPr="00CD03D3">
              <w:rPr>
                <w:rFonts w:cstheme="minorHAnsi"/>
                <w:color w:val="000000"/>
                <w:sz w:val="18"/>
                <w:szCs w:val="18"/>
              </w:rPr>
              <w:t>-</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DCE6F1"/>
            <w:noWrap/>
            <w:vAlign w:val="center"/>
            <w:hideMark/>
          </w:tcPr>
          <w:p w:rsidR="00A91050" w:rsidRPr="00CD03D3" w:rsidRDefault="00A91050" w:rsidP="000B4EA0">
            <w:pPr>
              <w:ind w:firstLineChars="100" w:firstLine="181"/>
              <w:rPr>
                <w:rFonts w:cstheme="minorHAnsi"/>
                <w:b/>
                <w:bCs/>
                <w:color w:val="000000"/>
                <w:sz w:val="18"/>
                <w:szCs w:val="18"/>
              </w:rPr>
            </w:pPr>
            <w:r w:rsidRPr="00CD03D3">
              <w:rPr>
                <w:rFonts w:cstheme="minorHAnsi"/>
                <w:b/>
                <w:bCs/>
                <w:color w:val="000000"/>
                <w:sz w:val="18"/>
                <w:szCs w:val="18"/>
              </w:rPr>
              <w:t>4.  Total de Resultados de Ingresos (4=1+2+3)</w:t>
            </w:r>
          </w:p>
        </w:tc>
        <w:tc>
          <w:tcPr>
            <w:tcW w:w="682"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30,309,526,984.83</w:t>
            </w:r>
          </w:p>
        </w:tc>
        <w:tc>
          <w:tcPr>
            <w:tcW w:w="586"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31,108,224,760.90</w:t>
            </w:r>
          </w:p>
        </w:tc>
        <w:tc>
          <w:tcPr>
            <w:tcW w:w="58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34,617,429,375.31</w:t>
            </w:r>
          </w:p>
        </w:tc>
        <w:tc>
          <w:tcPr>
            <w:tcW w:w="535"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35,731,419,956.55</w:t>
            </w:r>
          </w:p>
        </w:tc>
        <w:tc>
          <w:tcPr>
            <w:tcW w:w="634"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40,022,496,647.75</w:t>
            </w:r>
          </w:p>
        </w:tc>
        <w:tc>
          <w:tcPr>
            <w:tcW w:w="589" w:type="pct"/>
            <w:tcBorders>
              <w:top w:val="nil"/>
              <w:left w:val="nil"/>
              <w:bottom w:val="nil"/>
              <w:right w:val="single" w:sz="8" w:space="0" w:color="auto"/>
            </w:tcBorders>
            <w:shd w:val="clear" w:color="000000" w:fill="DCE6F1"/>
            <w:vAlign w:val="center"/>
            <w:hideMark/>
          </w:tcPr>
          <w:p w:rsidR="00A91050" w:rsidRPr="00CD03D3" w:rsidRDefault="00A91050" w:rsidP="000B4EA0">
            <w:pPr>
              <w:jc w:val="center"/>
              <w:rPr>
                <w:rFonts w:cstheme="minorHAnsi"/>
                <w:b/>
                <w:bCs/>
                <w:color w:val="000000"/>
                <w:sz w:val="18"/>
                <w:szCs w:val="18"/>
              </w:rPr>
            </w:pPr>
            <w:r w:rsidRPr="00CD03D3">
              <w:rPr>
                <w:rFonts w:cstheme="minorHAnsi"/>
                <w:b/>
                <w:bCs/>
                <w:color w:val="000000"/>
                <w:sz w:val="18"/>
                <w:szCs w:val="18"/>
              </w:rPr>
              <w:t>41,577,488,546.20</w:t>
            </w: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b/>
                <w:bCs/>
                <w:color w:val="000000"/>
                <w:sz w:val="18"/>
                <w:szCs w:val="18"/>
              </w:rPr>
            </w:pPr>
            <w:r w:rsidRPr="00CD03D3">
              <w:rPr>
                <w:rFonts w:cstheme="minorHAnsi"/>
                <w:b/>
                <w:bCs/>
                <w:color w:val="000000"/>
                <w:sz w:val="18"/>
                <w:szCs w:val="18"/>
              </w:rPr>
              <w:t>Datos Informativos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54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r w:rsidRPr="00CD03D3">
              <w:rPr>
                <w:rFonts w:cstheme="minorHAnsi"/>
                <w:color w:val="000000"/>
                <w:sz w:val="18"/>
                <w:szCs w:val="18"/>
              </w:rPr>
              <w:t>1. Ingresos Derivados de Financiamientos con Fuente de Pago de Recursos de Libre Disposición</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540"/>
        </w:trPr>
        <w:tc>
          <w:tcPr>
            <w:tcW w:w="1389" w:type="pct"/>
            <w:tcBorders>
              <w:top w:val="nil"/>
              <w:left w:val="single" w:sz="8" w:space="0" w:color="auto"/>
              <w:bottom w:val="nil"/>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r w:rsidRPr="00CD03D3">
              <w:rPr>
                <w:rFonts w:cstheme="minorHAnsi"/>
                <w:color w:val="000000"/>
                <w:sz w:val="18"/>
                <w:szCs w:val="18"/>
              </w:rPr>
              <w:t xml:space="preserve">2. Ingresos Derivados de Financiamientos con Fuente de Pago de Transferencias </w:t>
            </w:r>
            <w:r w:rsidRPr="00CD03D3">
              <w:rPr>
                <w:rFonts w:cstheme="minorHAnsi"/>
                <w:color w:val="000000"/>
                <w:sz w:val="18"/>
                <w:szCs w:val="18"/>
              </w:rPr>
              <w:lastRenderedPageBreak/>
              <w:t>Federales Etiquetadas</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00"/>
        </w:trPr>
        <w:tc>
          <w:tcPr>
            <w:tcW w:w="1389" w:type="pct"/>
            <w:tcBorders>
              <w:top w:val="nil"/>
              <w:left w:val="single" w:sz="8" w:space="0" w:color="auto"/>
              <w:bottom w:val="nil"/>
              <w:right w:val="single" w:sz="8" w:space="0" w:color="auto"/>
            </w:tcBorders>
            <w:shd w:val="clear" w:color="000000" w:fill="FFFFFF"/>
            <w:noWrap/>
            <w:vAlign w:val="center"/>
            <w:hideMark/>
          </w:tcPr>
          <w:p w:rsidR="00A91050" w:rsidRPr="00CD03D3" w:rsidRDefault="00A91050" w:rsidP="000B4EA0">
            <w:pPr>
              <w:rPr>
                <w:rFonts w:cstheme="minorHAnsi"/>
                <w:b/>
                <w:bCs/>
                <w:color w:val="000000"/>
                <w:sz w:val="18"/>
                <w:szCs w:val="18"/>
              </w:rPr>
            </w:pPr>
            <w:r w:rsidRPr="00CD03D3">
              <w:rPr>
                <w:rFonts w:cstheme="minorHAnsi"/>
                <w:b/>
                <w:bCs/>
                <w:color w:val="000000"/>
                <w:sz w:val="18"/>
                <w:szCs w:val="18"/>
              </w:rPr>
              <w:lastRenderedPageBreak/>
              <w:t>3. Ingresos Derivados de Financiamiento (3 = 1 + 2)</w:t>
            </w:r>
          </w:p>
        </w:tc>
        <w:tc>
          <w:tcPr>
            <w:tcW w:w="682"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nil"/>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r w:rsidR="00A91050" w:rsidRPr="00CD03D3" w:rsidTr="000B4EA0">
        <w:trPr>
          <w:trHeight w:val="315"/>
        </w:trPr>
        <w:tc>
          <w:tcPr>
            <w:tcW w:w="1389" w:type="pct"/>
            <w:tcBorders>
              <w:top w:val="nil"/>
              <w:left w:val="single" w:sz="8" w:space="0" w:color="auto"/>
              <w:bottom w:val="single" w:sz="8" w:space="0" w:color="auto"/>
              <w:right w:val="single" w:sz="8" w:space="0" w:color="auto"/>
            </w:tcBorders>
            <w:shd w:val="clear" w:color="000000" w:fill="FFFFFF"/>
            <w:vAlign w:val="center"/>
            <w:hideMark/>
          </w:tcPr>
          <w:p w:rsidR="00A91050" w:rsidRPr="00CD03D3" w:rsidRDefault="00A91050" w:rsidP="000B4EA0">
            <w:pPr>
              <w:rPr>
                <w:rFonts w:cstheme="minorHAnsi"/>
                <w:color w:val="000000"/>
                <w:sz w:val="18"/>
                <w:szCs w:val="18"/>
              </w:rPr>
            </w:pPr>
          </w:p>
        </w:tc>
        <w:tc>
          <w:tcPr>
            <w:tcW w:w="682"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6"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5"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35"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634"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c>
          <w:tcPr>
            <w:tcW w:w="589" w:type="pct"/>
            <w:tcBorders>
              <w:top w:val="nil"/>
              <w:left w:val="nil"/>
              <w:bottom w:val="single" w:sz="8" w:space="0" w:color="auto"/>
              <w:right w:val="single" w:sz="8" w:space="0" w:color="auto"/>
            </w:tcBorders>
            <w:shd w:val="clear" w:color="000000" w:fill="FFFFFF"/>
            <w:vAlign w:val="center"/>
            <w:hideMark/>
          </w:tcPr>
          <w:p w:rsidR="00A91050" w:rsidRPr="00CD03D3" w:rsidRDefault="00A91050" w:rsidP="000B4EA0">
            <w:pPr>
              <w:jc w:val="center"/>
              <w:rPr>
                <w:rFonts w:cstheme="minorHAnsi"/>
                <w:color w:val="000000"/>
                <w:sz w:val="18"/>
                <w:szCs w:val="18"/>
              </w:rPr>
            </w:pPr>
          </w:p>
        </w:tc>
      </w:tr>
    </w:tbl>
    <w:p w:rsidR="00A91050" w:rsidRPr="00952165" w:rsidRDefault="00A91050" w:rsidP="00BB4C48">
      <w:pPr>
        <w:spacing w:before="100" w:beforeAutospacing="1" w:after="100" w:afterAutospacing="1" w:line="240" w:lineRule="auto"/>
        <w:outlineLvl w:val="0"/>
      </w:pPr>
    </w:p>
    <w:sectPr w:rsidR="00A91050" w:rsidRPr="00952165" w:rsidSect="00214981">
      <w:footerReference w:type="default" r:id="rId7"/>
      <w:pgSz w:w="12240" w:h="15840"/>
      <w:pgMar w:top="2835"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EF" w:rsidRDefault="004220EF" w:rsidP="00214981">
      <w:pPr>
        <w:spacing w:line="240" w:lineRule="auto"/>
      </w:pPr>
      <w:r>
        <w:separator/>
      </w:r>
    </w:p>
  </w:endnote>
  <w:endnote w:type="continuationSeparator" w:id="0">
    <w:p w:rsidR="004220EF" w:rsidRDefault="004220EF" w:rsidP="00214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LMJN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8443"/>
      <w:docPartObj>
        <w:docPartGallery w:val="Page Numbers (Bottom of Page)"/>
        <w:docPartUnique/>
      </w:docPartObj>
    </w:sdtPr>
    <w:sdtContent>
      <w:p w:rsidR="0079342C" w:rsidRDefault="00300CE6" w:rsidP="00B13C9C">
        <w:pPr>
          <w:pStyle w:val="Piedepgina"/>
          <w:jc w:val="right"/>
        </w:pPr>
        <w:r w:rsidRPr="00214981">
          <w:rPr>
            <w:rFonts w:ascii="Arial" w:hAnsi="Arial" w:cs="Arial"/>
            <w:sz w:val="20"/>
            <w:szCs w:val="20"/>
          </w:rPr>
          <w:fldChar w:fldCharType="begin"/>
        </w:r>
        <w:r w:rsidR="0079342C" w:rsidRPr="00214981">
          <w:rPr>
            <w:rFonts w:ascii="Arial" w:hAnsi="Arial" w:cs="Arial"/>
            <w:sz w:val="20"/>
            <w:szCs w:val="20"/>
          </w:rPr>
          <w:instrText xml:space="preserve"> PAGE   \* MERGEFORMAT </w:instrText>
        </w:r>
        <w:r w:rsidRPr="00214981">
          <w:rPr>
            <w:rFonts w:ascii="Arial" w:hAnsi="Arial" w:cs="Arial"/>
            <w:sz w:val="20"/>
            <w:szCs w:val="20"/>
          </w:rPr>
          <w:fldChar w:fldCharType="separate"/>
        </w:r>
        <w:r w:rsidR="00061D14">
          <w:rPr>
            <w:rFonts w:ascii="Arial" w:hAnsi="Arial" w:cs="Arial"/>
            <w:noProof/>
            <w:sz w:val="20"/>
            <w:szCs w:val="20"/>
          </w:rPr>
          <w:t>37</w:t>
        </w:r>
        <w:r w:rsidRPr="00214981">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EF" w:rsidRDefault="004220EF" w:rsidP="00214981">
      <w:pPr>
        <w:spacing w:line="240" w:lineRule="auto"/>
      </w:pPr>
      <w:r>
        <w:separator/>
      </w:r>
    </w:p>
  </w:footnote>
  <w:footnote w:type="continuationSeparator" w:id="0">
    <w:p w:rsidR="004220EF" w:rsidRDefault="004220EF" w:rsidP="00214981">
      <w:pPr>
        <w:spacing w:line="240" w:lineRule="auto"/>
      </w:pPr>
      <w:r>
        <w:continuationSeparator/>
      </w:r>
    </w:p>
  </w:footnote>
  <w:footnote w:id="1">
    <w:p w:rsidR="0079342C" w:rsidRDefault="0079342C" w:rsidP="00521CB8">
      <w:pPr>
        <w:pStyle w:val="Textonotapie"/>
        <w:jc w:val="both"/>
      </w:pPr>
      <w:r>
        <w:rPr>
          <w:rStyle w:val="Refdenotaalpie"/>
        </w:rPr>
        <w:footnoteRef/>
      </w:r>
      <w:r>
        <w:t xml:space="preserve"> </w:t>
      </w:r>
      <w:r w:rsidRPr="00521CB8">
        <w:rPr>
          <w:rFonts w:ascii="Arial" w:hAnsi="Arial" w:cs="Arial"/>
        </w:rPr>
        <w:t>Datos tomados del Anexo B. Marco Macroeconómico y Estimación de las Finanzas Públicas 2018-2019 de los Criterios Generales de Política Económica para la Iniciativa de Ley de Ingresos y el Proyecto de Presupuesto de Egresos de la Federación correspondientes al Ejercicio Fiscal 2019, publicados en el Diario Oficial de la Federación el 15 de diciembre de 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NI"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1184"/>
    <w:rsid w:val="00002EBA"/>
    <w:rsid w:val="000046E2"/>
    <w:rsid w:val="000065F0"/>
    <w:rsid w:val="000107E1"/>
    <w:rsid w:val="00011EEF"/>
    <w:rsid w:val="00012038"/>
    <w:rsid w:val="00013B38"/>
    <w:rsid w:val="0001418D"/>
    <w:rsid w:val="00015210"/>
    <w:rsid w:val="00015313"/>
    <w:rsid w:val="0001772D"/>
    <w:rsid w:val="000223CB"/>
    <w:rsid w:val="00023348"/>
    <w:rsid w:val="00026514"/>
    <w:rsid w:val="0003017A"/>
    <w:rsid w:val="0003035E"/>
    <w:rsid w:val="00030AB7"/>
    <w:rsid w:val="00034919"/>
    <w:rsid w:val="00034C8C"/>
    <w:rsid w:val="00040BB3"/>
    <w:rsid w:val="00043E14"/>
    <w:rsid w:val="00046281"/>
    <w:rsid w:val="0004685C"/>
    <w:rsid w:val="000505B4"/>
    <w:rsid w:val="00050DFA"/>
    <w:rsid w:val="00057376"/>
    <w:rsid w:val="00057AB3"/>
    <w:rsid w:val="00061D14"/>
    <w:rsid w:val="00062256"/>
    <w:rsid w:val="000624E9"/>
    <w:rsid w:val="00063C29"/>
    <w:rsid w:val="0006700D"/>
    <w:rsid w:val="00067ADF"/>
    <w:rsid w:val="00071287"/>
    <w:rsid w:val="00081182"/>
    <w:rsid w:val="000822ED"/>
    <w:rsid w:val="000840A1"/>
    <w:rsid w:val="00087231"/>
    <w:rsid w:val="0008736B"/>
    <w:rsid w:val="00092678"/>
    <w:rsid w:val="000955C0"/>
    <w:rsid w:val="0009653F"/>
    <w:rsid w:val="000977A8"/>
    <w:rsid w:val="000A12A3"/>
    <w:rsid w:val="000A64E1"/>
    <w:rsid w:val="000B2F02"/>
    <w:rsid w:val="000B611B"/>
    <w:rsid w:val="000C1ED3"/>
    <w:rsid w:val="000C33B9"/>
    <w:rsid w:val="000C3B96"/>
    <w:rsid w:val="000C663D"/>
    <w:rsid w:val="000C6AA7"/>
    <w:rsid w:val="000D0AB8"/>
    <w:rsid w:val="000D1069"/>
    <w:rsid w:val="000D24FE"/>
    <w:rsid w:val="000D326B"/>
    <w:rsid w:val="000D3731"/>
    <w:rsid w:val="000D4164"/>
    <w:rsid w:val="000D45F1"/>
    <w:rsid w:val="000D4BEC"/>
    <w:rsid w:val="000D5740"/>
    <w:rsid w:val="000E0981"/>
    <w:rsid w:val="000E0A56"/>
    <w:rsid w:val="000E256C"/>
    <w:rsid w:val="000E5A71"/>
    <w:rsid w:val="000E5ACF"/>
    <w:rsid w:val="000E6AA1"/>
    <w:rsid w:val="000E7BC2"/>
    <w:rsid w:val="000F0411"/>
    <w:rsid w:val="000F3320"/>
    <w:rsid w:val="000F5977"/>
    <w:rsid w:val="000F7A0A"/>
    <w:rsid w:val="00100304"/>
    <w:rsid w:val="001122B8"/>
    <w:rsid w:val="001141C0"/>
    <w:rsid w:val="0011679A"/>
    <w:rsid w:val="0012043C"/>
    <w:rsid w:val="00121184"/>
    <w:rsid w:val="00121F70"/>
    <w:rsid w:val="001240D1"/>
    <w:rsid w:val="00127301"/>
    <w:rsid w:val="00127D14"/>
    <w:rsid w:val="00127F0C"/>
    <w:rsid w:val="00131D78"/>
    <w:rsid w:val="001365B5"/>
    <w:rsid w:val="00136665"/>
    <w:rsid w:val="00136716"/>
    <w:rsid w:val="00136C61"/>
    <w:rsid w:val="00136E3A"/>
    <w:rsid w:val="0014082D"/>
    <w:rsid w:val="0014484E"/>
    <w:rsid w:val="001542A6"/>
    <w:rsid w:val="0015463E"/>
    <w:rsid w:val="00161278"/>
    <w:rsid w:val="00161390"/>
    <w:rsid w:val="00162158"/>
    <w:rsid w:val="001625DC"/>
    <w:rsid w:val="00162EE6"/>
    <w:rsid w:val="0016500F"/>
    <w:rsid w:val="001671B5"/>
    <w:rsid w:val="00173C27"/>
    <w:rsid w:val="00181E93"/>
    <w:rsid w:val="001864A1"/>
    <w:rsid w:val="001917C5"/>
    <w:rsid w:val="00192858"/>
    <w:rsid w:val="001958F8"/>
    <w:rsid w:val="00197698"/>
    <w:rsid w:val="001A019D"/>
    <w:rsid w:val="001A1201"/>
    <w:rsid w:val="001A379B"/>
    <w:rsid w:val="001A6D7D"/>
    <w:rsid w:val="001B029A"/>
    <w:rsid w:val="001B3773"/>
    <w:rsid w:val="001B6414"/>
    <w:rsid w:val="001C596B"/>
    <w:rsid w:val="001D0CD9"/>
    <w:rsid w:val="001D3CF2"/>
    <w:rsid w:val="001E0408"/>
    <w:rsid w:val="001E0730"/>
    <w:rsid w:val="001E317E"/>
    <w:rsid w:val="001E4639"/>
    <w:rsid w:val="001E503A"/>
    <w:rsid w:val="001F1772"/>
    <w:rsid w:val="001F6E6B"/>
    <w:rsid w:val="00200ACD"/>
    <w:rsid w:val="00203AF9"/>
    <w:rsid w:val="00212FBF"/>
    <w:rsid w:val="00214981"/>
    <w:rsid w:val="00217049"/>
    <w:rsid w:val="002177CF"/>
    <w:rsid w:val="00220DC5"/>
    <w:rsid w:val="0022349C"/>
    <w:rsid w:val="0022738D"/>
    <w:rsid w:val="0022762C"/>
    <w:rsid w:val="0023049B"/>
    <w:rsid w:val="002346B9"/>
    <w:rsid w:val="00234EDD"/>
    <w:rsid w:val="002377E6"/>
    <w:rsid w:val="00244E8C"/>
    <w:rsid w:val="00260639"/>
    <w:rsid w:val="00263087"/>
    <w:rsid w:val="0026653D"/>
    <w:rsid w:val="00267EFA"/>
    <w:rsid w:val="00271069"/>
    <w:rsid w:val="002734F0"/>
    <w:rsid w:val="00275966"/>
    <w:rsid w:val="00276D09"/>
    <w:rsid w:val="002774B0"/>
    <w:rsid w:val="00277E2E"/>
    <w:rsid w:val="002825A2"/>
    <w:rsid w:val="00283196"/>
    <w:rsid w:val="00283C71"/>
    <w:rsid w:val="0028716C"/>
    <w:rsid w:val="002873BB"/>
    <w:rsid w:val="00287BC5"/>
    <w:rsid w:val="00287E4D"/>
    <w:rsid w:val="002918ED"/>
    <w:rsid w:val="00293AF0"/>
    <w:rsid w:val="00295F9C"/>
    <w:rsid w:val="002A035F"/>
    <w:rsid w:val="002A3791"/>
    <w:rsid w:val="002B00D3"/>
    <w:rsid w:val="002B1C6F"/>
    <w:rsid w:val="002B353A"/>
    <w:rsid w:val="002C2571"/>
    <w:rsid w:val="002C4318"/>
    <w:rsid w:val="002C6C99"/>
    <w:rsid w:val="002C76BB"/>
    <w:rsid w:val="002D0DB2"/>
    <w:rsid w:val="002D29B6"/>
    <w:rsid w:val="002D65A8"/>
    <w:rsid w:val="002E21D5"/>
    <w:rsid w:val="002E2D90"/>
    <w:rsid w:val="002E40E4"/>
    <w:rsid w:val="002E5A86"/>
    <w:rsid w:val="002E6215"/>
    <w:rsid w:val="002F2831"/>
    <w:rsid w:val="002F30A9"/>
    <w:rsid w:val="002F569A"/>
    <w:rsid w:val="0030024E"/>
    <w:rsid w:val="00300CE6"/>
    <w:rsid w:val="003026D3"/>
    <w:rsid w:val="0030397E"/>
    <w:rsid w:val="00304E4E"/>
    <w:rsid w:val="0031016A"/>
    <w:rsid w:val="0031038B"/>
    <w:rsid w:val="00312C85"/>
    <w:rsid w:val="00312D0C"/>
    <w:rsid w:val="00312F0E"/>
    <w:rsid w:val="00315A76"/>
    <w:rsid w:val="00317A80"/>
    <w:rsid w:val="003222B6"/>
    <w:rsid w:val="00323F34"/>
    <w:rsid w:val="00325689"/>
    <w:rsid w:val="00326010"/>
    <w:rsid w:val="00326825"/>
    <w:rsid w:val="003305C3"/>
    <w:rsid w:val="00331B34"/>
    <w:rsid w:val="0033346E"/>
    <w:rsid w:val="00334B9E"/>
    <w:rsid w:val="00334D4D"/>
    <w:rsid w:val="00335020"/>
    <w:rsid w:val="003377BA"/>
    <w:rsid w:val="00337F38"/>
    <w:rsid w:val="00340FAE"/>
    <w:rsid w:val="00342081"/>
    <w:rsid w:val="00342489"/>
    <w:rsid w:val="00343616"/>
    <w:rsid w:val="00344238"/>
    <w:rsid w:val="0035062F"/>
    <w:rsid w:val="00353ECD"/>
    <w:rsid w:val="00357061"/>
    <w:rsid w:val="00357D72"/>
    <w:rsid w:val="00361D60"/>
    <w:rsid w:val="0036201C"/>
    <w:rsid w:val="00363787"/>
    <w:rsid w:val="00363FDD"/>
    <w:rsid w:val="00372BE3"/>
    <w:rsid w:val="00373BC3"/>
    <w:rsid w:val="0037605A"/>
    <w:rsid w:val="00377CE1"/>
    <w:rsid w:val="00377DC4"/>
    <w:rsid w:val="003802B9"/>
    <w:rsid w:val="0038091A"/>
    <w:rsid w:val="00383081"/>
    <w:rsid w:val="00383728"/>
    <w:rsid w:val="00384E59"/>
    <w:rsid w:val="00386153"/>
    <w:rsid w:val="003933D8"/>
    <w:rsid w:val="00393910"/>
    <w:rsid w:val="0039741C"/>
    <w:rsid w:val="003A05EA"/>
    <w:rsid w:val="003A2167"/>
    <w:rsid w:val="003A318F"/>
    <w:rsid w:val="003A33DE"/>
    <w:rsid w:val="003A664A"/>
    <w:rsid w:val="003B02F0"/>
    <w:rsid w:val="003B09ED"/>
    <w:rsid w:val="003B1925"/>
    <w:rsid w:val="003B78F7"/>
    <w:rsid w:val="003C0412"/>
    <w:rsid w:val="003C08FC"/>
    <w:rsid w:val="003C1B78"/>
    <w:rsid w:val="003C1F51"/>
    <w:rsid w:val="003C4F72"/>
    <w:rsid w:val="003C5BB3"/>
    <w:rsid w:val="003C6342"/>
    <w:rsid w:val="003D0EEE"/>
    <w:rsid w:val="003D1ED8"/>
    <w:rsid w:val="003D33A0"/>
    <w:rsid w:val="003D70A6"/>
    <w:rsid w:val="003D7499"/>
    <w:rsid w:val="003E0595"/>
    <w:rsid w:val="003E077D"/>
    <w:rsid w:val="003E18CD"/>
    <w:rsid w:val="003E31B5"/>
    <w:rsid w:val="003E454E"/>
    <w:rsid w:val="003E58A9"/>
    <w:rsid w:val="003E63DA"/>
    <w:rsid w:val="003E74E2"/>
    <w:rsid w:val="003F0BA6"/>
    <w:rsid w:val="003F3335"/>
    <w:rsid w:val="00400EAB"/>
    <w:rsid w:val="00401EAA"/>
    <w:rsid w:val="00413AAA"/>
    <w:rsid w:val="00415585"/>
    <w:rsid w:val="00415AFE"/>
    <w:rsid w:val="00416692"/>
    <w:rsid w:val="00417603"/>
    <w:rsid w:val="00421ACD"/>
    <w:rsid w:val="004220EF"/>
    <w:rsid w:val="00424F64"/>
    <w:rsid w:val="004255D7"/>
    <w:rsid w:val="00432FF5"/>
    <w:rsid w:val="00443094"/>
    <w:rsid w:val="00446318"/>
    <w:rsid w:val="004510D4"/>
    <w:rsid w:val="0045401A"/>
    <w:rsid w:val="004551DA"/>
    <w:rsid w:val="00456206"/>
    <w:rsid w:val="00461BB9"/>
    <w:rsid w:val="00473063"/>
    <w:rsid w:val="00474B99"/>
    <w:rsid w:val="00474DD9"/>
    <w:rsid w:val="00476884"/>
    <w:rsid w:val="004773BB"/>
    <w:rsid w:val="0047799A"/>
    <w:rsid w:val="00477A78"/>
    <w:rsid w:val="004807AE"/>
    <w:rsid w:val="00483560"/>
    <w:rsid w:val="00483CCD"/>
    <w:rsid w:val="004844A0"/>
    <w:rsid w:val="00484B9E"/>
    <w:rsid w:val="004863C6"/>
    <w:rsid w:val="00487272"/>
    <w:rsid w:val="00491A12"/>
    <w:rsid w:val="00494EEA"/>
    <w:rsid w:val="00496DFB"/>
    <w:rsid w:val="004A0316"/>
    <w:rsid w:val="004A09BA"/>
    <w:rsid w:val="004A2F50"/>
    <w:rsid w:val="004A3199"/>
    <w:rsid w:val="004A63C3"/>
    <w:rsid w:val="004A6C18"/>
    <w:rsid w:val="004A6D29"/>
    <w:rsid w:val="004B11EA"/>
    <w:rsid w:val="004B4853"/>
    <w:rsid w:val="004B7627"/>
    <w:rsid w:val="004B7A13"/>
    <w:rsid w:val="004C147F"/>
    <w:rsid w:val="004C240B"/>
    <w:rsid w:val="004D11E4"/>
    <w:rsid w:val="004D348B"/>
    <w:rsid w:val="004E06AD"/>
    <w:rsid w:val="004F46F6"/>
    <w:rsid w:val="004F5600"/>
    <w:rsid w:val="004F775C"/>
    <w:rsid w:val="005010C0"/>
    <w:rsid w:val="005019A5"/>
    <w:rsid w:val="00506A7C"/>
    <w:rsid w:val="005116AF"/>
    <w:rsid w:val="00512CE1"/>
    <w:rsid w:val="0051308D"/>
    <w:rsid w:val="00513B57"/>
    <w:rsid w:val="00514F9E"/>
    <w:rsid w:val="0051631C"/>
    <w:rsid w:val="00516A31"/>
    <w:rsid w:val="00517076"/>
    <w:rsid w:val="005179C3"/>
    <w:rsid w:val="0052009D"/>
    <w:rsid w:val="0052082E"/>
    <w:rsid w:val="005209C7"/>
    <w:rsid w:val="00521CB8"/>
    <w:rsid w:val="005226AD"/>
    <w:rsid w:val="00522FCC"/>
    <w:rsid w:val="00523DE9"/>
    <w:rsid w:val="00526F0C"/>
    <w:rsid w:val="00531551"/>
    <w:rsid w:val="005368DA"/>
    <w:rsid w:val="00536C2F"/>
    <w:rsid w:val="00540BA8"/>
    <w:rsid w:val="005537E1"/>
    <w:rsid w:val="00554ECD"/>
    <w:rsid w:val="005556F5"/>
    <w:rsid w:val="00556BF1"/>
    <w:rsid w:val="005646CC"/>
    <w:rsid w:val="0056755F"/>
    <w:rsid w:val="00567AB5"/>
    <w:rsid w:val="00570F6B"/>
    <w:rsid w:val="00572C59"/>
    <w:rsid w:val="00573B07"/>
    <w:rsid w:val="00573CDC"/>
    <w:rsid w:val="0057630A"/>
    <w:rsid w:val="00576EDF"/>
    <w:rsid w:val="00577CEA"/>
    <w:rsid w:val="00581BDF"/>
    <w:rsid w:val="00582948"/>
    <w:rsid w:val="005866BE"/>
    <w:rsid w:val="00587DA9"/>
    <w:rsid w:val="005900E1"/>
    <w:rsid w:val="005928B7"/>
    <w:rsid w:val="0059344F"/>
    <w:rsid w:val="005939EC"/>
    <w:rsid w:val="0059689E"/>
    <w:rsid w:val="00596996"/>
    <w:rsid w:val="00597E68"/>
    <w:rsid w:val="005A1091"/>
    <w:rsid w:val="005A1759"/>
    <w:rsid w:val="005A4095"/>
    <w:rsid w:val="005A75DD"/>
    <w:rsid w:val="005A7770"/>
    <w:rsid w:val="005B12BE"/>
    <w:rsid w:val="005B2072"/>
    <w:rsid w:val="005B2D91"/>
    <w:rsid w:val="005B765F"/>
    <w:rsid w:val="005C534D"/>
    <w:rsid w:val="005C6318"/>
    <w:rsid w:val="005C70D0"/>
    <w:rsid w:val="005D2FE0"/>
    <w:rsid w:val="005D5A9D"/>
    <w:rsid w:val="005D7E0A"/>
    <w:rsid w:val="005E2C68"/>
    <w:rsid w:val="005E7C8E"/>
    <w:rsid w:val="005F47BB"/>
    <w:rsid w:val="005F48BE"/>
    <w:rsid w:val="005F4BA1"/>
    <w:rsid w:val="005F4FB8"/>
    <w:rsid w:val="005F72E7"/>
    <w:rsid w:val="00600531"/>
    <w:rsid w:val="00601F74"/>
    <w:rsid w:val="006057E3"/>
    <w:rsid w:val="0060735C"/>
    <w:rsid w:val="0061047D"/>
    <w:rsid w:val="0061273F"/>
    <w:rsid w:val="0061518A"/>
    <w:rsid w:val="006156BF"/>
    <w:rsid w:val="00615B35"/>
    <w:rsid w:val="00617936"/>
    <w:rsid w:val="00621BAE"/>
    <w:rsid w:val="006230A6"/>
    <w:rsid w:val="00624F68"/>
    <w:rsid w:val="00630E74"/>
    <w:rsid w:val="00632289"/>
    <w:rsid w:val="006355FF"/>
    <w:rsid w:val="0063583F"/>
    <w:rsid w:val="00637408"/>
    <w:rsid w:val="006450E1"/>
    <w:rsid w:val="00646E7F"/>
    <w:rsid w:val="00646ED4"/>
    <w:rsid w:val="00651330"/>
    <w:rsid w:val="006517E1"/>
    <w:rsid w:val="00651A3E"/>
    <w:rsid w:val="00657266"/>
    <w:rsid w:val="00660744"/>
    <w:rsid w:val="00661E90"/>
    <w:rsid w:val="0066226C"/>
    <w:rsid w:val="0066463B"/>
    <w:rsid w:val="0066493A"/>
    <w:rsid w:val="006661F1"/>
    <w:rsid w:val="006672BC"/>
    <w:rsid w:val="0067180B"/>
    <w:rsid w:val="006764F5"/>
    <w:rsid w:val="0068786D"/>
    <w:rsid w:val="00687BB2"/>
    <w:rsid w:val="006921BD"/>
    <w:rsid w:val="00693FFA"/>
    <w:rsid w:val="006942B4"/>
    <w:rsid w:val="00696701"/>
    <w:rsid w:val="00697915"/>
    <w:rsid w:val="00697D15"/>
    <w:rsid w:val="006A3D4B"/>
    <w:rsid w:val="006A6DB5"/>
    <w:rsid w:val="006A7F45"/>
    <w:rsid w:val="006B018F"/>
    <w:rsid w:val="006B1530"/>
    <w:rsid w:val="006B1E04"/>
    <w:rsid w:val="006B2E4A"/>
    <w:rsid w:val="006B49E6"/>
    <w:rsid w:val="006B57F4"/>
    <w:rsid w:val="006B74EF"/>
    <w:rsid w:val="006C023A"/>
    <w:rsid w:val="006C2ED3"/>
    <w:rsid w:val="006C438A"/>
    <w:rsid w:val="006C5B00"/>
    <w:rsid w:val="006C5F00"/>
    <w:rsid w:val="006D06E5"/>
    <w:rsid w:val="006D10FB"/>
    <w:rsid w:val="006D46B8"/>
    <w:rsid w:val="006D52C8"/>
    <w:rsid w:val="006D5749"/>
    <w:rsid w:val="006D5797"/>
    <w:rsid w:val="006E012F"/>
    <w:rsid w:val="006E0B83"/>
    <w:rsid w:val="006E2B14"/>
    <w:rsid w:val="006E5C67"/>
    <w:rsid w:val="006E74E8"/>
    <w:rsid w:val="006F18B9"/>
    <w:rsid w:val="006F70CA"/>
    <w:rsid w:val="00702C7D"/>
    <w:rsid w:val="007034E3"/>
    <w:rsid w:val="0070542A"/>
    <w:rsid w:val="007067D8"/>
    <w:rsid w:val="007107BF"/>
    <w:rsid w:val="007122DE"/>
    <w:rsid w:val="00713431"/>
    <w:rsid w:val="007138B6"/>
    <w:rsid w:val="0071502D"/>
    <w:rsid w:val="007165F8"/>
    <w:rsid w:val="00720131"/>
    <w:rsid w:val="007210F3"/>
    <w:rsid w:val="00731B0C"/>
    <w:rsid w:val="007337C2"/>
    <w:rsid w:val="007350F5"/>
    <w:rsid w:val="00737AFF"/>
    <w:rsid w:val="00740E15"/>
    <w:rsid w:val="007412FA"/>
    <w:rsid w:val="00743698"/>
    <w:rsid w:val="0074617E"/>
    <w:rsid w:val="00747794"/>
    <w:rsid w:val="007532CE"/>
    <w:rsid w:val="00753914"/>
    <w:rsid w:val="00756FC3"/>
    <w:rsid w:val="0075753E"/>
    <w:rsid w:val="00764743"/>
    <w:rsid w:val="00765628"/>
    <w:rsid w:val="007673D4"/>
    <w:rsid w:val="007708F0"/>
    <w:rsid w:val="00771149"/>
    <w:rsid w:val="00773FD3"/>
    <w:rsid w:val="007758FF"/>
    <w:rsid w:val="00781014"/>
    <w:rsid w:val="00782000"/>
    <w:rsid w:val="007824DF"/>
    <w:rsid w:val="007836C8"/>
    <w:rsid w:val="00784882"/>
    <w:rsid w:val="007860FD"/>
    <w:rsid w:val="00787B86"/>
    <w:rsid w:val="00787BBA"/>
    <w:rsid w:val="00792054"/>
    <w:rsid w:val="00793163"/>
    <w:rsid w:val="0079342C"/>
    <w:rsid w:val="00794179"/>
    <w:rsid w:val="0079694F"/>
    <w:rsid w:val="007A1B7B"/>
    <w:rsid w:val="007A2120"/>
    <w:rsid w:val="007A270A"/>
    <w:rsid w:val="007A36D0"/>
    <w:rsid w:val="007A5C64"/>
    <w:rsid w:val="007A6D59"/>
    <w:rsid w:val="007B4E69"/>
    <w:rsid w:val="007B7826"/>
    <w:rsid w:val="007C0030"/>
    <w:rsid w:val="007C26D6"/>
    <w:rsid w:val="007C2C62"/>
    <w:rsid w:val="007C3A05"/>
    <w:rsid w:val="007C5247"/>
    <w:rsid w:val="007C5FA9"/>
    <w:rsid w:val="007D106E"/>
    <w:rsid w:val="007D392E"/>
    <w:rsid w:val="007D4097"/>
    <w:rsid w:val="007E2B25"/>
    <w:rsid w:val="007E6527"/>
    <w:rsid w:val="007F2BDA"/>
    <w:rsid w:val="007F6755"/>
    <w:rsid w:val="007F7EC0"/>
    <w:rsid w:val="0080221E"/>
    <w:rsid w:val="00803175"/>
    <w:rsid w:val="00806DBE"/>
    <w:rsid w:val="008113E5"/>
    <w:rsid w:val="008136C5"/>
    <w:rsid w:val="0081650F"/>
    <w:rsid w:val="008173CC"/>
    <w:rsid w:val="00820069"/>
    <w:rsid w:val="00821F59"/>
    <w:rsid w:val="0082382B"/>
    <w:rsid w:val="00824338"/>
    <w:rsid w:val="00831782"/>
    <w:rsid w:val="0083396E"/>
    <w:rsid w:val="00835433"/>
    <w:rsid w:val="008354BF"/>
    <w:rsid w:val="00835847"/>
    <w:rsid w:val="00837676"/>
    <w:rsid w:val="008431A6"/>
    <w:rsid w:val="008455F3"/>
    <w:rsid w:val="00845C49"/>
    <w:rsid w:val="00847957"/>
    <w:rsid w:val="00850393"/>
    <w:rsid w:val="00850AFB"/>
    <w:rsid w:val="00851E3D"/>
    <w:rsid w:val="008552AC"/>
    <w:rsid w:val="00856DF0"/>
    <w:rsid w:val="00856F37"/>
    <w:rsid w:val="00857622"/>
    <w:rsid w:val="00863DEE"/>
    <w:rsid w:val="00870019"/>
    <w:rsid w:val="0087291A"/>
    <w:rsid w:val="00873A9F"/>
    <w:rsid w:val="00874B9A"/>
    <w:rsid w:val="00874D08"/>
    <w:rsid w:val="00877811"/>
    <w:rsid w:val="008824B0"/>
    <w:rsid w:val="00885CD0"/>
    <w:rsid w:val="0089630E"/>
    <w:rsid w:val="00896A03"/>
    <w:rsid w:val="00897607"/>
    <w:rsid w:val="00897671"/>
    <w:rsid w:val="008A34D2"/>
    <w:rsid w:val="008A3BB3"/>
    <w:rsid w:val="008B4801"/>
    <w:rsid w:val="008B581A"/>
    <w:rsid w:val="008B71D0"/>
    <w:rsid w:val="008C18AF"/>
    <w:rsid w:val="008C4E8E"/>
    <w:rsid w:val="008C685E"/>
    <w:rsid w:val="008C75FB"/>
    <w:rsid w:val="008C7756"/>
    <w:rsid w:val="008D0B39"/>
    <w:rsid w:val="008D1562"/>
    <w:rsid w:val="008D2673"/>
    <w:rsid w:val="008D5274"/>
    <w:rsid w:val="008D5632"/>
    <w:rsid w:val="008D68A8"/>
    <w:rsid w:val="008D6E6A"/>
    <w:rsid w:val="008E0E73"/>
    <w:rsid w:val="008E0F60"/>
    <w:rsid w:val="008E173D"/>
    <w:rsid w:val="008E19CF"/>
    <w:rsid w:val="008E51B5"/>
    <w:rsid w:val="008E5433"/>
    <w:rsid w:val="008E7274"/>
    <w:rsid w:val="008F3678"/>
    <w:rsid w:val="008F434B"/>
    <w:rsid w:val="008F70CC"/>
    <w:rsid w:val="008F7A69"/>
    <w:rsid w:val="00900EBC"/>
    <w:rsid w:val="009018A0"/>
    <w:rsid w:val="0090367D"/>
    <w:rsid w:val="00906D58"/>
    <w:rsid w:val="0090738C"/>
    <w:rsid w:val="00907954"/>
    <w:rsid w:val="009221BA"/>
    <w:rsid w:val="00922A8C"/>
    <w:rsid w:val="0092307E"/>
    <w:rsid w:val="009236BA"/>
    <w:rsid w:val="0092499D"/>
    <w:rsid w:val="009326AD"/>
    <w:rsid w:val="009414F1"/>
    <w:rsid w:val="00942785"/>
    <w:rsid w:val="00943FA6"/>
    <w:rsid w:val="0095097A"/>
    <w:rsid w:val="00952165"/>
    <w:rsid w:val="00955C5A"/>
    <w:rsid w:val="00956444"/>
    <w:rsid w:val="009569DC"/>
    <w:rsid w:val="00961B83"/>
    <w:rsid w:val="009643A6"/>
    <w:rsid w:val="00972FE4"/>
    <w:rsid w:val="00975F57"/>
    <w:rsid w:val="00980AD7"/>
    <w:rsid w:val="00981B36"/>
    <w:rsid w:val="0098789D"/>
    <w:rsid w:val="00990908"/>
    <w:rsid w:val="00990E37"/>
    <w:rsid w:val="00993660"/>
    <w:rsid w:val="00995800"/>
    <w:rsid w:val="009A17F4"/>
    <w:rsid w:val="009A1E03"/>
    <w:rsid w:val="009A1E2C"/>
    <w:rsid w:val="009A3C6F"/>
    <w:rsid w:val="009A3CEF"/>
    <w:rsid w:val="009A401A"/>
    <w:rsid w:val="009B0EFF"/>
    <w:rsid w:val="009B2E69"/>
    <w:rsid w:val="009B5503"/>
    <w:rsid w:val="009B5727"/>
    <w:rsid w:val="009B6190"/>
    <w:rsid w:val="009B7927"/>
    <w:rsid w:val="009B7C1D"/>
    <w:rsid w:val="009C7122"/>
    <w:rsid w:val="009C766C"/>
    <w:rsid w:val="009D15E0"/>
    <w:rsid w:val="009D1713"/>
    <w:rsid w:val="009D3020"/>
    <w:rsid w:val="009D3D86"/>
    <w:rsid w:val="009D687A"/>
    <w:rsid w:val="009D75AF"/>
    <w:rsid w:val="009D79D9"/>
    <w:rsid w:val="009E29AE"/>
    <w:rsid w:val="009E5CB6"/>
    <w:rsid w:val="009F364E"/>
    <w:rsid w:val="00A02969"/>
    <w:rsid w:val="00A03AFB"/>
    <w:rsid w:val="00A10569"/>
    <w:rsid w:val="00A109BB"/>
    <w:rsid w:val="00A11A1F"/>
    <w:rsid w:val="00A122F5"/>
    <w:rsid w:val="00A125B3"/>
    <w:rsid w:val="00A15C1C"/>
    <w:rsid w:val="00A20B39"/>
    <w:rsid w:val="00A2716D"/>
    <w:rsid w:val="00A27B68"/>
    <w:rsid w:val="00A30507"/>
    <w:rsid w:val="00A31E34"/>
    <w:rsid w:val="00A32B62"/>
    <w:rsid w:val="00A33FF2"/>
    <w:rsid w:val="00A3555E"/>
    <w:rsid w:val="00A36749"/>
    <w:rsid w:val="00A3710B"/>
    <w:rsid w:val="00A44727"/>
    <w:rsid w:val="00A44C2F"/>
    <w:rsid w:val="00A50305"/>
    <w:rsid w:val="00A505A6"/>
    <w:rsid w:val="00A52636"/>
    <w:rsid w:val="00A53216"/>
    <w:rsid w:val="00A555ED"/>
    <w:rsid w:val="00A561DC"/>
    <w:rsid w:val="00A601D6"/>
    <w:rsid w:val="00A6444A"/>
    <w:rsid w:val="00A644AF"/>
    <w:rsid w:val="00A67307"/>
    <w:rsid w:val="00A70E2E"/>
    <w:rsid w:val="00A746DE"/>
    <w:rsid w:val="00A74C0E"/>
    <w:rsid w:val="00A75FCC"/>
    <w:rsid w:val="00A7720B"/>
    <w:rsid w:val="00A82AEA"/>
    <w:rsid w:val="00A8421C"/>
    <w:rsid w:val="00A84743"/>
    <w:rsid w:val="00A84DBA"/>
    <w:rsid w:val="00A85780"/>
    <w:rsid w:val="00A909F5"/>
    <w:rsid w:val="00A91050"/>
    <w:rsid w:val="00A93D3D"/>
    <w:rsid w:val="00A96B6A"/>
    <w:rsid w:val="00AA243B"/>
    <w:rsid w:val="00AB0DE7"/>
    <w:rsid w:val="00AB2270"/>
    <w:rsid w:val="00AB2AC9"/>
    <w:rsid w:val="00AB62F8"/>
    <w:rsid w:val="00AB6F97"/>
    <w:rsid w:val="00AB7392"/>
    <w:rsid w:val="00AB73FC"/>
    <w:rsid w:val="00AC2AD2"/>
    <w:rsid w:val="00AC2EEB"/>
    <w:rsid w:val="00AC4422"/>
    <w:rsid w:val="00AC4DA2"/>
    <w:rsid w:val="00AC5761"/>
    <w:rsid w:val="00AD018B"/>
    <w:rsid w:val="00AD08B6"/>
    <w:rsid w:val="00AD096E"/>
    <w:rsid w:val="00AD13B0"/>
    <w:rsid w:val="00AD590F"/>
    <w:rsid w:val="00AD7F77"/>
    <w:rsid w:val="00AE0419"/>
    <w:rsid w:val="00AE28B3"/>
    <w:rsid w:val="00AE412F"/>
    <w:rsid w:val="00AE728C"/>
    <w:rsid w:val="00AF11AD"/>
    <w:rsid w:val="00AF272D"/>
    <w:rsid w:val="00AF5885"/>
    <w:rsid w:val="00B00BD5"/>
    <w:rsid w:val="00B01486"/>
    <w:rsid w:val="00B01BF2"/>
    <w:rsid w:val="00B070A0"/>
    <w:rsid w:val="00B13A30"/>
    <w:rsid w:val="00B13C9C"/>
    <w:rsid w:val="00B16024"/>
    <w:rsid w:val="00B169C9"/>
    <w:rsid w:val="00B21ABA"/>
    <w:rsid w:val="00B22326"/>
    <w:rsid w:val="00B23E15"/>
    <w:rsid w:val="00B263F5"/>
    <w:rsid w:val="00B3762E"/>
    <w:rsid w:val="00B43F0E"/>
    <w:rsid w:val="00B442B8"/>
    <w:rsid w:val="00B44E99"/>
    <w:rsid w:val="00B465AD"/>
    <w:rsid w:val="00B55430"/>
    <w:rsid w:val="00B55B45"/>
    <w:rsid w:val="00B55FEF"/>
    <w:rsid w:val="00B57B06"/>
    <w:rsid w:val="00B60971"/>
    <w:rsid w:val="00B613EC"/>
    <w:rsid w:val="00B66739"/>
    <w:rsid w:val="00B7228D"/>
    <w:rsid w:val="00B731DA"/>
    <w:rsid w:val="00B73F4C"/>
    <w:rsid w:val="00B756B5"/>
    <w:rsid w:val="00B77BB1"/>
    <w:rsid w:val="00B80A67"/>
    <w:rsid w:val="00B81854"/>
    <w:rsid w:val="00B8349A"/>
    <w:rsid w:val="00B87012"/>
    <w:rsid w:val="00B90BE4"/>
    <w:rsid w:val="00B9205E"/>
    <w:rsid w:val="00B92443"/>
    <w:rsid w:val="00B97D30"/>
    <w:rsid w:val="00B97F35"/>
    <w:rsid w:val="00BB1184"/>
    <w:rsid w:val="00BB3BC3"/>
    <w:rsid w:val="00BB3C14"/>
    <w:rsid w:val="00BB4C48"/>
    <w:rsid w:val="00BB6A0A"/>
    <w:rsid w:val="00BB75CA"/>
    <w:rsid w:val="00BC0267"/>
    <w:rsid w:val="00BC14FC"/>
    <w:rsid w:val="00BC1F81"/>
    <w:rsid w:val="00BC29B4"/>
    <w:rsid w:val="00BC4D80"/>
    <w:rsid w:val="00BD03CC"/>
    <w:rsid w:val="00BE181A"/>
    <w:rsid w:val="00BE1B86"/>
    <w:rsid w:val="00BE1C37"/>
    <w:rsid w:val="00BE2457"/>
    <w:rsid w:val="00BF0217"/>
    <w:rsid w:val="00BF1556"/>
    <w:rsid w:val="00C0062A"/>
    <w:rsid w:val="00C00902"/>
    <w:rsid w:val="00C00B65"/>
    <w:rsid w:val="00C042D2"/>
    <w:rsid w:val="00C042E3"/>
    <w:rsid w:val="00C078E9"/>
    <w:rsid w:val="00C07F35"/>
    <w:rsid w:val="00C10E88"/>
    <w:rsid w:val="00C15A81"/>
    <w:rsid w:val="00C17862"/>
    <w:rsid w:val="00C21969"/>
    <w:rsid w:val="00C225AA"/>
    <w:rsid w:val="00C244E7"/>
    <w:rsid w:val="00C25C85"/>
    <w:rsid w:val="00C27286"/>
    <w:rsid w:val="00C32670"/>
    <w:rsid w:val="00C36260"/>
    <w:rsid w:val="00C36EC0"/>
    <w:rsid w:val="00C42BC2"/>
    <w:rsid w:val="00C453AB"/>
    <w:rsid w:val="00C45A4C"/>
    <w:rsid w:val="00C4713A"/>
    <w:rsid w:val="00C51180"/>
    <w:rsid w:val="00C5305D"/>
    <w:rsid w:val="00C54E3A"/>
    <w:rsid w:val="00C54F4F"/>
    <w:rsid w:val="00C569B8"/>
    <w:rsid w:val="00C65CD2"/>
    <w:rsid w:val="00C66507"/>
    <w:rsid w:val="00C737B7"/>
    <w:rsid w:val="00C73BA7"/>
    <w:rsid w:val="00C73F24"/>
    <w:rsid w:val="00C740BE"/>
    <w:rsid w:val="00C74EA2"/>
    <w:rsid w:val="00C752A8"/>
    <w:rsid w:val="00C753A6"/>
    <w:rsid w:val="00C8283A"/>
    <w:rsid w:val="00C83FFC"/>
    <w:rsid w:val="00C85DF5"/>
    <w:rsid w:val="00C90556"/>
    <w:rsid w:val="00C970A5"/>
    <w:rsid w:val="00C97F66"/>
    <w:rsid w:val="00CA0643"/>
    <w:rsid w:val="00CA1EEE"/>
    <w:rsid w:val="00CA2160"/>
    <w:rsid w:val="00CA4D79"/>
    <w:rsid w:val="00CA5405"/>
    <w:rsid w:val="00CB03B7"/>
    <w:rsid w:val="00CB394D"/>
    <w:rsid w:val="00CB544D"/>
    <w:rsid w:val="00CC64F0"/>
    <w:rsid w:val="00CD0332"/>
    <w:rsid w:val="00CD05F8"/>
    <w:rsid w:val="00CD171B"/>
    <w:rsid w:val="00CD4198"/>
    <w:rsid w:val="00CD7CF6"/>
    <w:rsid w:val="00CE2F2B"/>
    <w:rsid w:val="00CE31E6"/>
    <w:rsid w:val="00CE3FFC"/>
    <w:rsid w:val="00CE428B"/>
    <w:rsid w:val="00CE5E93"/>
    <w:rsid w:val="00CF21B9"/>
    <w:rsid w:val="00CF4401"/>
    <w:rsid w:val="00CF795C"/>
    <w:rsid w:val="00CF7B39"/>
    <w:rsid w:val="00D042E7"/>
    <w:rsid w:val="00D063A1"/>
    <w:rsid w:val="00D07302"/>
    <w:rsid w:val="00D101BB"/>
    <w:rsid w:val="00D10EAD"/>
    <w:rsid w:val="00D15F16"/>
    <w:rsid w:val="00D168FF"/>
    <w:rsid w:val="00D2064F"/>
    <w:rsid w:val="00D22E6F"/>
    <w:rsid w:val="00D26FBE"/>
    <w:rsid w:val="00D27853"/>
    <w:rsid w:val="00D3095A"/>
    <w:rsid w:val="00D30A50"/>
    <w:rsid w:val="00D344C5"/>
    <w:rsid w:val="00D370FC"/>
    <w:rsid w:val="00D430D6"/>
    <w:rsid w:val="00D527A1"/>
    <w:rsid w:val="00D531DC"/>
    <w:rsid w:val="00D53720"/>
    <w:rsid w:val="00D55796"/>
    <w:rsid w:val="00D57525"/>
    <w:rsid w:val="00D606A8"/>
    <w:rsid w:val="00D610A5"/>
    <w:rsid w:val="00D61A82"/>
    <w:rsid w:val="00D61B9C"/>
    <w:rsid w:val="00D61C15"/>
    <w:rsid w:val="00D61C2E"/>
    <w:rsid w:val="00D6483A"/>
    <w:rsid w:val="00D73321"/>
    <w:rsid w:val="00D83F47"/>
    <w:rsid w:val="00D905F3"/>
    <w:rsid w:val="00D93652"/>
    <w:rsid w:val="00D93E38"/>
    <w:rsid w:val="00D95229"/>
    <w:rsid w:val="00D95B23"/>
    <w:rsid w:val="00D97C87"/>
    <w:rsid w:val="00DA07DD"/>
    <w:rsid w:val="00DA2F33"/>
    <w:rsid w:val="00DA69CB"/>
    <w:rsid w:val="00DB094C"/>
    <w:rsid w:val="00DB0B6F"/>
    <w:rsid w:val="00DB4160"/>
    <w:rsid w:val="00DB42BA"/>
    <w:rsid w:val="00DB545A"/>
    <w:rsid w:val="00DB5686"/>
    <w:rsid w:val="00DB6888"/>
    <w:rsid w:val="00DC0640"/>
    <w:rsid w:val="00DC566B"/>
    <w:rsid w:val="00DC7A47"/>
    <w:rsid w:val="00DD0DFC"/>
    <w:rsid w:val="00DD4174"/>
    <w:rsid w:val="00DD5CD9"/>
    <w:rsid w:val="00DD7772"/>
    <w:rsid w:val="00DE08AE"/>
    <w:rsid w:val="00DE0E9C"/>
    <w:rsid w:val="00DE65A8"/>
    <w:rsid w:val="00DE754C"/>
    <w:rsid w:val="00DF2E23"/>
    <w:rsid w:val="00DF2E4F"/>
    <w:rsid w:val="00DF2F46"/>
    <w:rsid w:val="00DF31E3"/>
    <w:rsid w:val="00DF42CC"/>
    <w:rsid w:val="00DF73A4"/>
    <w:rsid w:val="00E0271E"/>
    <w:rsid w:val="00E03934"/>
    <w:rsid w:val="00E03B8F"/>
    <w:rsid w:val="00E06C67"/>
    <w:rsid w:val="00E10560"/>
    <w:rsid w:val="00E11223"/>
    <w:rsid w:val="00E161FC"/>
    <w:rsid w:val="00E16589"/>
    <w:rsid w:val="00E2020A"/>
    <w:rsid w:val="00E22F47"/>
    <w:rsid w:val="00E25328"/>
    <w:rsid w:val="00E26647"/>
    <w:rsid w:val="00E31ACF"/>
    <w:rsid w:val="00E35329"/>
    <w:rsid w:val="00E35544"/>
    <w:rsid w:val="00E43718"/>
    <w:rsid w:val="00E446D1"/>
    <w:rsid w:val="00E47D42"/>
    <w:rsid w:val="00E51C77"/>
    <w:rsid w:val="00E533C3"/>
    <w:rsid w:val="00E54FBE"/>
    <w:rsid w:val="00E55D87"/>
    <w:rsid w:val="00E56166"/>
    <w:rsid w:val="00E61B52"/>
    <w:rsid w:val="00E6362A"/>
    <w:rsid w:val="00E64D0F"/>
    <w:rsid w:val="00E66095"/>
    <w:rsid w:val="00E7380C"/>
    <w:rsid w:val="00E73CD0"/>
    <w:rsid w:val="00E74B4C"/>
    <w:rsid w:val="00E839FC"/>
    <w:rsid w:val="00E84269"/>
    <w:rsid w:val="00E84632"/>
    <w:rsid w:val="00E85233"/>
    <w:rsid w:val="00E86D70"/>
    <w:rsid w:val="00E91B5F"/>
    <w:rsid w:val="00E94115"/>
    <w:rsid w:val="00E9680D"/>
    <w:rsid w:val="00E968E2"/>
    <w:rsid w:val="00E96B0D"/>
    <w:rsid w:val="00EA1663"/>
    <w:rsid w:val="00EA4C57"/>
    <w:rsid w:val="00EA77BD"/>
    <w:rsid w:val="00EB0D1C"/>
    <w:rsid w:val="00EB6719"/>
    <w:rsid w:val="00EB7293"/>
    <w:rsid w:val="00EC3FAF"/>
    <w:rsid w:val="00EC3FB7"/>
    <w:rsid w:val="00EC6C79"/>
    <w:rsid w:val="00EC7FC2"/>
    <w:rsid w:val="00ED286B"/>
    <w:rsid w:val="00ED5B81"/>
    <w:rsid w:val="00ED644E"/>
    <w:rsid w:val="00ED682F"/>
    <w:rsid w:val="00ED73AF"/>
    <w:rsid w:val="00ED7AD4"/>
    <w:rsid w:val="00EE06D9"/>
    <w:rsid w:val="00EE677F"/>
    <w:rsid w:val="00EE7D1C"/>
    <w:rsid w:val="00EF2122"/>
    <w:rsid w:val="00EF30FB"/>
    <w:rsid w:val="00EF5876"/>
    <w:rsid w:val="00EF68DC"/>
    <w:rsid w:val="00EF7EB8"/>
    <w:rsid w:val="00F03610"/>
    <w:rsid w:val="00F071D5"/>
    <w:rsid w:val="00F142D3"/>
    <w:rsid w:val="00F20860"/>
    <w:rsid w:val="00F2129B"/>
    <w:rsid w:val="00F27F57"/>
    <w:rsid w:val="00F34A86"/>
    <w:rsid w:val="00F352E0"/>
    <w:rsid w:val="00F37092"/>
    <w:rsid w:val="00F403CE"/>
    <w:rsid w:val="00F41A5B"/>
    <w:rsid w:val="00F41CEA"/>
    <w:rsid w:val="00F420D3"/>
    <w:rsid w:val="00F45C4A"/>
    <w:rsid w:val="00F51E8F"/>
    <w:rsid w:val="00F53005"/>
    <w:rsid w:val="00F53AF5"/>
    <w:rsid w:val="00F54BF9"/>
    <w:rsid w:val="00F55CAE"/>
    <w:rsid w:val="00F57F66"/>
    <w:rsid w:val="00F61084"/>
    <w:rsid w:val="00F61D3E"/>
    <w:rsid w:val="00F63283"/>
    <w:rsid w:val="00F658A6"/>
    <w:rsid w:val="00F671A3"/>
    <w:rsid w:val="00F67E67"/>
    <w:rsid w:val="00F711F2"/>
    <w:rsid w:val="00F737DF"/>
    <w:rsid w:val="00F77791"/>
    <w:rsid w:val="00F82F53"/>
    <w:rsid w:val="00F83678"/>
    <w:rsid w:val="00F90AAF"/>
    <w:rsid w:val="00F90B84"/>
    <w:rsid w:val="00F90DA1"/>
    <w:rsid w:val="00F92E42"/>
    <w:rsid w:val="00F9381E"/>
    <w:rsid w:val="00F94E41"/>
    <w:rsid w:val="00F94F4F"/>
    <w:rsid w:val="00F96635"/>
    <w:rsid w:val="00F9668E"/>
    <w:rsid w:val="00F976F0"/>
    <w:rsid w:val="00FA671A"/>
    <w:rsid w:val="00FA6CD4"/>
    <w:rsid w:val="00FA73AB"/>
    <w:rsid w:val="00FB17E3"/>
    <w:rsid w:val="00FB22D9"/>
    <w:rsid w:val="00FB2C3D"/>
    <w:rsid w:val="00FB640E"/>
    <w:rsid w:val="00FB75AD"/>
    <w:rsid w:val="00FC068C"/>
    <w:rsid w:val="00FC0E0C"/>
    <w:rsid w:val="00FC2410"/>
    <w:rsid w:val="00FC2C23"/>
    <w:rsid w:val="00FC2FF9"/>
    <w:rsid w:val="00FC377E"/>
    <w:rsid w:val="00FC466D"/>
    <w:rsid w:val="00FC47E8"/>
    <w:rsid w:val="00FC497D"/>
    <w:rsid w:val="00FC5330"/>
    <w:rsid w:val="00FD2A19"/>
    <w:rsid w:val="00FD4F3A"/>
    <w:rsid w:val="00FE1938"/>
    <w:rsid w:val="00FE1FE5"/>
    <w:rsid w:val="00FE3200"/>
    <w:rsid w:val="00FE6C90"/>
    <w:rsid w:val="00FF4FC4"/>
    <w:rsid w:val="00FF6B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84"/>
    <w:pPr>
      <w:spacing w:after="0" w:line="360" w:lineRule="auto"/>
    </w:pPr>
  </w:style>
  <w:style w:type="paragraph" w:styleId="Ttulo1">
    <w:name w:val="heading 1"/>
    <w:basedOn w:val="Normal"/>
    <w:link w:val="Ttulo1Car"/>
    <w:uiPriority w:val="9"/>
    <w:qFormat/>
    <w:rsid w:val="00121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1184"/>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121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184"/>
  </w:style>
  <w:style w:type="paragraph" w:styleId="Piedepgina">
    <w:name w:val="footer"/>
    <w:basedOn w:val="Normal"/>
    <w:link w:val="PiedepginaCar"/>
    <w:uiPriority w:val="99"/>
    <w:unhideWhenUsed/>
    <w:rsid w:val="0012118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184"/>
  </w:style>
  <w:style w:type="paragraph" w:styleId="Textodeglobo">
    <w:name w:val="Balloon Text"/>
    <w:basedOn w:val="Normal"/>
    <w:link w:val="TextodegloboCar"/>
    <w:uiPriority w:val="99"/>
    <w:semiHidden/>
    <w:unhideWhenUsed/>
    <w:rsid w:val="001211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84"/>
    <w:rPr>
      <w:rFonts w:ascii="Tahoma" w:hAnsi="Tahoma" w:cs="Tahoma"/>
      <w:sz w:val="16"/>
      <w:szCs w:val="16"/>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1184"/>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121184"/>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121184"/>
    <w:pPr>
      <w:spacing w:line="240" w:lineRule="auto"/>
    </w:pPr>
    <w:rPr>
      <w:sz w:val="20"/>
      <w:szCs w:val="20"/>
    </w:rPr>
  </w:style>
  <w:style w:type="character" w:customStyle="1" w:styleId="TextonotapieCar">
    <w:name w:val="Texto nota pie Car"/>
    <w:basedOn w:val="Fuentedeprrafopredeter"/>
    <w:link w:val="Textonotapie"/>
    <w:uiPriority w:val="99"/>
    <w:rsid w:val="00121184"/>
    <w:rPr>
      <w:sz w:val="20"/>
      <w:szCs w:val="20"/>
    </w:rPr>
  </w:style>
  <w:style w:type="character" w:styleId="Refdenotaalpie">
    <w:name w:val="footnote reference"/>
    <w:basedOn w:val="Fuentedeprrafopredeter"/>
    <w:uiPriority w:val="99"/>
    <w:semiHidden/>
    <w:unhideWhenUsed/>
    <w:rsid w:val="00121184"/>
    <w:rPr>
      <w:vertAlign w:val="superscript"/>
    </w:rPr>
  </w:style>
  <w:style w:type="paragraph" w:customStyle="1" w:styleId="p">
    <w:name w:val="p"/>
    <w:basedOn w:val="Normal"/>
    <w:rsid w:val="00121184"/>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121184"/>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121184"/>
    <w:rPr>
      <w:color w:val="0000FF"/>
      <w:sz w:val="30"/>
      <w:szCs w:val="30"/>
    </w:rPr>
  </w:style>
  <w:style w:type="character" w:customStyle="1" w:styleId="d1">
    <w:name w:val="d1"/>
    <w:basedOn w:val="Fuentedeprrafopredeter"/>
    <w:rsid w:val="00121184"/>
    <w:rPr>
      <w:color w:val="0000FF"/>
    </w:rPr>
  </w:style>
  <w:style w:type="character" w:customStyle="1" w:styleId="b1">
    <w:name w:val="b1"/>
    <w:basedOn w:val="Fuentedeprrafopredeter"/>
    <w:rsid w:val="00121184"/>
    <w:rPr>
      <w:color w:val="000000"/>
    </w:rPr>
  </w:style>
  <w:style w:type="character" w:customStyle="1" w:styleId="caps">
    <w:name w:val="caps"/>
    <w:basedOn w:val="Fuentedeprrafopredeter"/>
    <w:rsid w:val="00121184"/>
  </w:style>
  <w:style w:type="paragraph" w:customStyle="1" w:styleId="Default">
    <w:name w:val="Default"/>
    <w:rsid w:val="00121184"/>
    <w:pPr>
      <w:autoSpaceDE w:val="0"/>
      <w:autoSpaceDN w:val="0"/>
      <w:adjustRightInd w:val="0"/>
      <w:spacing w:after="0" w:line="240" w:lineRule="auto"/>
    </w:pPr>
    <w:rPr>
      <w:rFonts w:ascii="Arial" w:hAnsi="Arial" w:cs="Arial"/>
      <w:color w:val="000000"/>
      <w:sz w:val="24"/>
      <w:szCs w:val="24"/>
    </w:rPr>
  </w:style>
  <w:style w:type="paragraph" w:customStyle="1" w:styleId="pau">
    <w:name w:val="pau"/>
    <w:basedOn w:val="Normal"/>
    <w:rsid w:val="00121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21184"/>
  </w:style>
  <w:style w:type="character" w:styleId="nfasis">
    <w:name w:val="Emphasis"/>
    <w:basedOn w:val="Fuentedeprrafopredeter"/>
    <w:uiPriority w:val="20"/>
    <w:qFormat/>
    <w:rsid w:val="00121184"/>
    <w:rPr>
      <w:i/>
      <w:iCs/>
    </w:rPr>
  </w:style>
  <w:style w:type="character" w:styleId="Textoennegrita">
    <w:name w:val="Strong"/>
    <w:basedOn w:val="Fuentedeprrafopredeter"/>
    <w:uiPriority w:val="22"/>
    <w:qFormat/>
    <w:rsid w:val="00121184"/>
    <w:rPr>
      <w:b/>
      <w:bCs/>
    </w:rPr>
  </w:style>
  <w:style w:type="paragraph" w:styleId="Ttulo">
    <w:name w:val="Title"/>
    <w:basedOn w:val="Normal"/>
    <w:link w:val="TtuloCar"/>
    <w:qFormat/>
    <w:rsid w:val="00121184"/>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121184"/>
    <w:rPr>
      <w:rFonts w:ascii="Arial" w:eastAsia="Times New Roman" w:hAnsi="Arial" w:cs="Arial"/>
      <w:b/>
      <w:bCs/>
      <w:snapToGrid w:val="0"/>
      <w:color w:val="008000"/>
      <w:sz w:val="24"/>
      <w:szCs w:val="20"/>
      <w:lang w:eastAsia="es-ES"/>
    </w:rPr>
  </w:style>
  <w:style w:type="paragraph" w:customStyle="1" w:styleId="ROMANOS">
    <w:name w:val="ROMANOS"/>
    <w:basedOn w:val="Normal"/>
    <w:rsid w:val="00121184"/>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214981"/>
    <w:rPr>
      <w:sz w:val="16"/>
      <w:szCs w:val="16"/>
    </w:rPr>
  </w:style>
  <w:style w:type="paragraph" w:styleId="Textocomentario">
    <w:name w:val="annotation text"/>
    <w:basedOn w:val="Normal"/>
    <w:link w:val="TextocomentarioCar"/>
    <w:uiPriority w:val="99"/>
    <w:unhideWhenUsed/>
    <w:rsid w:val="00214981"/>
    <w:pPr>
      <w:spacing w:line="240" w:lineRule="auto"/>
    </w:pPr>
    <w:rPr>
      <w:sz w:val="20"/>
      <w:szCs w:val="20"/>
    </w:rPr>
  </w:style>
  <w:style w:type="character" w:customStyle="1" w:styleId="TextocomentarioCar">
    <w:name w:val="Texto comentario Car"/>
    <w:basedOn w:val="Fuentedeprrafopredeter"/>
    <w:link w:val="Textocomentario"/>
    <w:uiPriority w:val="99"/>
    <w:rsid w:val="00214981"/>
    <w:rPr>
      <w:sz w:val="20"/>
      <w:szCs w:val="20"/>
    </w:rPr>
  </w:style>
  <w:style w:type="paragraph" w:styleId="Asuntodelcomentario">
    <w:name w:val="annotation subject"/>
    <w:basedOn w:val="Textocomentario"/>
    <w:next w:val="Textocomentario"/>
    <w:link w:val="AsuntodelcomentarioCar"/>
    <w:uiPriority w:val="99"/>
    <w:semiHidden/>
    <w:unhideWhenUsed/>
    <w:rsid w:val="00214981"/>
    <w:rPr>
      <w:b/>
      <w:bCs/>
    </w:rPr>
  </w:style>
  <w:style w:type="character" w:customStyle="1" w:styleId="AsuntodelcomentarioCar">
    <w:name w:val="Asunto del comentario Car"/>
    <w:basedOn w:val="TextocomentarioCar"/>
    <w:link w:val="Asuntodelcomentario"/>
    <w:uiPriority w:val="99"/>
    <w:semiHidden/>
    <w:rsid w:val="00214981"/>
    <w:rPr>
      <w:b/>
      <w:bCs/>
      <w:sz w:val="20"/>
      <w:szCs w:val="20"/>
    </w:rPr>
  </w:style>
  <w:style w:type="paragraph" w:customStyle="1" w:styleId="section1">
    <w:name w:val="section1"/>
    <w:basedOn w:val="Normal"/>
    <w:rsid w:val="00B8349A"/>
    <w:pPr>
      <w:spacing w:beforeLines="1" w:line="240" w:lineRule="auto"/>
    </w:pPr>
    <w:rPr>
      <w:rFonts w:ascii="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4510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510D4"/>
    <w:rPr>
      <w:sz w:val="20"/>
      <w:szCs w:val="20"/>
    </w:rPr>
  </w:style>
  <w:style w:type="character" w:styleId="Refdenotaalfinal">
    <w:name w:val="endnote reference"/>
    <w:basedOn w:val="Fuentedeprrafopredeter"/>
    <w:uiPriority w:val="99"/>
    <w:semiHidden/>
    <w:unhideWhenUsed/>
    <w:rsid w:val="004510D4"/>
    <w:rPr>
      <w:vertAlign w:val="superscript"/>
    </w:rPr>
  </w:style>
  <w:style w:type="paragraph" w:customStyle="1" w:styleId="Texto">
    <w:name w:val="Texto"/>
    <w:basedOn w:val="Normal"/>
    <w:link w:val="TextoCar"/>
    <w:rsid w:val="00EB671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6719"/>
    <w:rPr>
      <w:rFonts w:ascii="Arial" w:eastAsia="Times New Roman" w:hAnsi="Arial" w:cs="Arial"/>
      <w:sz w:val="18"/>
      <w:szCs w:val="20"/>
      <w:lang w:val="es-ES" w:eastAsia="es-ES"/>
    </w:rPr>
  </w:style>
  <w:style w:type="paragraph" w:customStyle="1" w:styleId="texto0">
    <w:name w:val="texto"/>
    <w:basedOn w:val="Normal"/>
    <w:rsid w:val="007A270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370FC"/>
    <w:rPr>
      <w:color w:val="auto"/>
    </w:rPr>
  </w:style>
  <w:style w:type="character" w:styleId="Hipervnculo">
    <w:name w:val="Hyperlink"/>
    <w:basedOn w:val="Fuentedeprrafopredeter"/>
    <w:uiPriority w:val="99"/>
    <w:unhideWhenUsed/>
    <w:rsid w:val="00D905F3"/>
    <w:rPr>
      <w:color w:val="0000FF"/>
      <w:u w:val="single"/>
    </w:rPr>
  </w:style>
  <w:style w:type="character" w:customStyle="1" w:styleId="corchete-llamada1">
    <w:name w:val="corchete-llamada1"/>
    <w:basedOn w:val="Fuentedeprrafopredeter"/>
    <w:rsid w:val="00D905F3"/>
    <w:rPr>
      <w:vanish/>
      <w:webHidden w:val="0"/>
      <w:specVanish w:val="0"/>
    </w:rPr>
  </w:style>
  <w:style w:type="character" w:customStyle="1" w:styleId="reference-text">
    <w:name w:val="reference-text"/>
    <w:basedOn w:val="Fuentedeprrafopredeter"/>
    <w:rsid w:val="00D905F3"/>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5E7C8E"/>
    <w:rPr>
      <w:rFonts w:ascii="Times" w:eastAsia="Times New Roman" w:hAnsi="Times" w:cs="Times"/>
      <w:sz w:val="20"/>
      <w:szCs w:val="20"/>
      <w:lang w:val="es-ES_tradnl" w:eastAsia="es-ES_tradnl"/>
    </w:rPr>
  </w:style>
  <w:style w:type="character" w:styleId="Hipervnculovisitado">
    <w:name w:val="FollowedHyperlink"/>
    <w:basedOn w:val="Fuentedeprrafopredeter"/>
    <w:uiPriority w:val="99"/>
    <w:semiHidden/>
    <w:unhideWhenUsed/>
    <w:rsid w:val="000D5740"/>
    <w:rPr>
      <w:color w:val="800080"/>
      <w:u w:val="single"/>
    </w:rPr>
  </w:style>
  <w:style w:type="paragraph" w:customStyle="1" w:styleId="xl83">
    <w:name w:val="xl83"/>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0D5740"/>
    <w:pP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85">
    <w:name w:val="xl8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6">
    <w:name w:val="xl86"/>
    <w:basedOn w:val="Normal"/>
    <w:rsid w:val="000D5740"/>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0D5740"/>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9">
    <w:name w:val="xl89"/>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0">
    <w:name w:val="xl90"/>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1">
    <w:name w:val="xl91"/>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2">
    <w:name w:val="xl92"/>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3">
    <w:name w:val="xl93"/>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4">
    <w:name w:val="xl94"/>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5">
    <w:name w:val="xl95"/>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6">
    <w:name w:val="xl9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97">
    <w:name w:val="xl97"/>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8">
    <w:name w:val="xl98"/>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9">
    <w:name w:val="xl99"/>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0">
    <w:name w:val="xl100"/>
    <w:basedOn w:val="Normal"/>
    <w:rsid w:val="000D574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1">
    <w:name w:val="xl10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2">
    <w:name w:val="xl102"/>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04">
    <w:name w:val="xl10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7">
    <w:name w:val="xl107"/>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8">
    <w:name w:val="xl108"/>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9">
    <w:name w:val="xl109"/>
    <w:basedOn w:val="Normal"/>
    <w:rsid w:val="000D57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0">
    <w:name w:val="xl110"/>
    <w:basedOn w:val="Normal"/>
    <w:rsid w:val="000D57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1">
    <w:name w:val="xl11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2">
    <w:name w:val="xl11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3">
    <w:name w:val="xl11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4">
    <w:name w:val="xl114"/>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5">
    <w:name w:val="xl115"/>
    <w:basedOn w:val="Normal"/>
    <w:rsid w:val="000D5740"/>
    <w:pP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16">
    <w:name w:val="xl116"/>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7">
    <w:name w:val="xl117"/>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18">
    <w:name w:val="xl118"/>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19">
    <w:name w:val="xl119"/>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0">
    <w:name w:val="xl120"/>
    <w:basedOn w:val="Normal"/>
    <w:rsid w:val="000D5740"/>
    <w:pPr>
      <w:pBdr>
        <w:lef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0D5740"/>
    <w:pP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2">
    <w:name w:val="xl122"/>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23">
    <w:name w:val="xl123"/>
    <w:basedOn w:val="Normal"/>
    <w:rsid w:val="000D574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4">
    <w:name w:val="xl124"/>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5">
    <w:name w:val="xl125"/>
    <w:basedOn w:val="Normal"/>
    <w:rsid w:val="000D574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26">
    <w:name w:val="xl126"/>
    <w:basedOn w:val="Normal"/>
    <w:rsid w:val="000D574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7">
    <w:name w:val="xl127"/>
    <w:basedOn w:val="Normal"/>
    <w:rsid w:val="000D574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28">
    <w:name w:val="xl128"/>
    <w:basedOn w:val="Normal"/>
    <w:rsid w:val="000D574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29">
    <w:name w:val="xl129"/>
    <w:basedOn w:val="Normal"/>
    <w:rsid w:val="000D574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30">
    <w:name w:val="xl13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1">
    <w:name w:val="xl131"/>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2">
    <w:name w:val="xl132"/>
    <w:basedOn w:val="Normal"/>
    <w:rsid w:val="000D574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33">
    <w:name w:val="xl133"/>
    <w:basedOn w:val="Normal"/>
    <w:rsid w:val="000D5740"/>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34">
    <w:name w:val="xl134"/>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5">
    <w:name w:val="xl135"/>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6">
    <w:name w:val="xl136"/>
    <w:basedOn w:val="Normal"/>
    <w:rsid w:val="000D57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7">
    <w:name w:val="xl137"/>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38">
    <w:name w:val="xl138"/>
    <w:basedOn w:val="Normal"/>
    <w:rsid w:val="000D574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9">
    <w:name w:val="xl139"/>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0">
    <w:name w:val="xl140"/>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1">
    <w:name w:val="xl141"/>
    <w:basedOn w:val="Normal"/>
    <w:rsid w:val="000D574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2">
    <w:name w:val="xl142"/>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43">
    <w:name w:val="xl143"/>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4">
    <w:name w:val="xl144"/>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45">
    <w:name w:val="xl145"/>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6">
    <w:name w:val="xl146"/>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47">
    <w:name w:val="xl147"/>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MX"/>
    </w:rPr>
  </w:style>
  <w:style w:type="paragraph" w:customStyle="1" w:styleId="xl148">
    <w:name w:val="xl148"/>
    <w:basedOn w:val="Normal"/>
    <w:rsid w:val="000D5740"/>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49">
    <w:name w:val="xl149"/>
    <w:basedOn w:val="Normal"/>
    <w:rsid w:val="000D574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0">
    <w:name w:val="xl150"/>
    <w:basedOn w:val="Normal"/>
    <w:rsid w:val="000D5740"/>
    <w:pPr>
      <w:pBdr>
        <w:left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151">
    <w:name w:val="xl151"/>
    <w:basedOn w:val="Normal"/>
    <w:rsid w:val="000D5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152">
    <w:name w:val="xl152"/>
    <w:basedOn w:val="Normal"/>
    <w:rsid w:val="000D57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3">
    <w:name w:val="xl153"/>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4">
    <w:name w:val="xl154"/>
    <w:basedOn w:val="Normal"/>
    <w:rsid w:val="000D57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0D57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table" w:customStyle="1" w:styleId="Tablaconcuadrcula1">
    <w:name w:val="Tabla con cuadrícula1"/>
    <w:basedOn w:val="Tablanormal"/>
    <w:next w:val="Tablaconcuadrcula"/>
    <w:uiPriority w:val="59"/>
    <w:unhideWhenUsed/>
    <w:rsid w:val="005A4095"/>
    <w:pPr>
      <w:spacing w:after="0" w:line="240" w:lineRule="auto"/>
    </w:pPr>
    <w:rPr>
      <w:rFonts w:eastAsia="Times New Roman"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1">
    <w:name w:val="CM51"/>
    <w:basedOn w:val="Default"/>
    <w:next w:val="Default"/>
    <w:uiPriority w:val="99"/>
    <w:rsid w:val="00737AFF"/>
    <w:pPr>
      <w:widowControl w:val="0"/>
    </w:pPr>
    <w:rPr>
      <w:rFonts w:ascii="NLMJND+Arial,Bold" w:eastAsiaTheme="minorEastAsia" w:hAnsi="NLMJND+Arial,Bold" w:cs="Times New Roman"/>
      <w:color w:val="auto"/>
      <w:lang w:eastAsia="es-MX"/>
    </w:rPr>
  </w:style>
  <w:style w:type="paragraph" w:customStyle="1" w:styleId="CM53">
    <w:name w:val="CM53"/>
    <w:basedOn w:val="Normal"/>
    <w:next w:val="Normal"/>
    <w:uiPriority w:val="99"/>
    <w:rsid w:val="00737AFF"/>
    <w:pPr>
      <w:widowControl w:val="0"/>
      <w:autoSpaceDE w:val="0"/>
      <w:autoSpaceDN w:val="0"/>
      <w:adjustRightInd w:val="0"/>
      <w:spacing w:line="240" w:lineRule="auto"/>
    </w:pPr>
    <w:rPr>
      <w:rFonts w:ascii="NLMJND+Arial,Bold" w:eastAsiaTheme="minorEastAsia" w:hAnsi="NLMJND+Arial,Bold" w:cs="Times New Roman"/>
      <w:sz w:val="24"/>
      <w:szCs w:val="24"/>
      <w:lang w:eastAsia="es-MX"/>
    </w:rPr>
  </w:style>
  <w:style w:type="paragraph" w:customStyle="1" w:styleId="xl67">
    <w:name w:val="xl67"/>
    <w:basedOn w:val="Normal"/>
    <w:rsid w:val="00737AF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8">
    <w:name w:val="xl68"/>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737AF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737AF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737AFF"/>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737AFF"/>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0">
    <w:name w:val="xl80"/>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737AF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737AF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5">
    <w:name w:val="xl75"/>
    <w:basedOn w:val="Normal"/>
    <w:rsid w:val="00737AFF"/>
    <w:pPr>
      <w:spacing w:before="100" w:beforeAutospacing="1" w:after="100" w:afterAutospacing="1" w:line="240" w:lineRule="auto"/>
      <w:textAlignment w:val="center"/>
    </w:pPr>
    <w:rPr>
      <w:rFonts w:ascii="Arial" w:eastAsia="Times New Roman" w:hAnsi="Arial" w:cs="Arial"/>
      <w:b/>
      <w:bCs/>
      <w:sz w:val="18"/>
      <w:szCs w:val="18"/>
      <w:lang w:eastAsia="es-MX"/>
    </w:rPr>
  </w:style>
</w:styles>
</file>

<file path=word/webSettings.xml><?xml version="1.0" encoding="utf-8"?>
<w:webSettings xmlns:r="http://schemas.openxmlformats.org/officeDocument/2006/relationships" xmlns:w="http://schemas.openxmlformats.org/wordprocessingml/2006/main">
  <w:divs>
    <w:div w:id="173543481">
      <w:bodyDiv w:val="1"/>
      <w:marLeft w:val="0"/>
      <w:marRight w:val="0"/>
      <w:marTop w:val="0"/>
      <w:marBottom w:val="0"/>
      <w:divBdr>
        <w:top w:val="none" w:sz="0" w:space="0" w:color="auto"/>
        <w:left w:val="none" w:sz="0" w:space="0" w:color="auto"/>
        <w:bottom w:val="none" w:sz="0" w:space="0" w:color="auto"/>
        <w:right w:val="none" w:sz="0" w:space="0" w:color="auto"/>
      </w:divBdr>
    </w:div>
    <w:div w:id="1545483085">
      <w:bodyDiv w:val="1"/>
      <w:marLeft w:val="0"/>
      <w:marRight w:val="0"/>
      <w:marTop w:val="0"/>
      <w:marBottom w:val="0"/>
      <w:divBdr>
        <w:top w:val="none" w:sz="0" w:space="0" w:color="auto"/>
        <w:left w:val="none" w:sz="0" w:space="0" w:color="auto"/>
        <w:bottom w:val="none" w:sz="0" w:space="0" w:color="auto"/>
        <w:right w:val="none" w:sz="0" w:space="0" w:color="auto"/>
      </w:divBdr>
    </w:div>
    <w:div w:id="1663266918">
      <w:bodyDiv w:val="1"/>
      <w:marLeft w:val="0"/>
      <w:marRight w:val="0"/>
      <w:marTop w:val="0"/>
      <w:marBottom w:val="0"/>
      <w:divBdr>
        <w:top w:val="none" w:sz="0" w:space="0" w:color="auto"/>
        <w:left w:val="none" w:sz="0" w:space="0" w:color="auto"/>
        <w:bottom w:val="none" w:sz="0" w:space="0" w:color="auto"/>
        <w:right w:val="none" w:sz="0" w:space="0" w:color="auto"/>
      </w:divBdr>
    </w:div>
    <w:div w:id="2038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23FD-9194-4CB1-AFFE-7A75C9C1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37</Pages>
  <Words>11649</Words>
  <Characters>64071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García</dc:creator>
  <cp:lastModifiedBy>ingrid.sosa</cp:lastModifiedBy>
  <cp:revision>18</cp:revision>
  <cp:lastPrinted>2018-12-20T21:11:00Z</cp:lastPrinted>
  <dcterms:created xsi:type="dcterms:W3CDTF">2018-12-20T17:28:00Z</dcterms:created>
  <dcterms:modified xsi:type="dcterms:W3CDTF">2018-12-20T21:12:00Z</dcterms:modified>
</cp:coreProperties>
</file>