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715E" w:rsidRPr="0064715E" w:rsidRDefault="0064715E" w:rsidP="0064715E">
      <w:pPr>
        <w:spacing w:before="120" w:line="276" w:lineRule="auto"/>
        <w:jc w:val="center"/>
        <w:rPr>
          <w:rFonts w:ascii="Barlow Medium" w:eastAsiaTheme="minorHAnsi" w:hAnsi="Barlow Medium" w:cs="Arial"/>
          <w:b/>
          <w:color w:val="000000"/>
          <w:lang w:val="es-ES" w:eastAsia="en-US"/>
        </w:rPr>
      </w:pPr>
      <w:r w:rsidRPr="0064715E">
        <w:rPr>
          <w:rFonts w:ascii="Barlow Medium" w:eastAsiaTheme="minorHAnsi" w:hAnsi="Barlow Medium" w:cs="Arial"/>
          <w:b/>
          <w:color w:val="000000"/>
          <w:lang w:val="es-ES" w:eastAsia="en-US"/>
        </w:rPr>
        <w:t>Anexos</w:t>
      </w:r>
    </w:p>
    <w:p w:rsidR="0064715E" w:rsidRDefault="0064715E" w:rsidP="001700E7">
      <w:pPr>
        <w:spacing w:before="120" w:line="276" w:lineRule="auto"/>
        <w:jc w:val="both"/>
        <w:rPr>
          <w:rFonts w:ascii="Barlow Medium" w:eastAsiaTheme="minorHAnsi" w:hAnsi="Barlow Medium" w:cs="Arial"/>
          <w:color w:val="000000"/>
          <w:lang w:val="es-ES" w:eastAsia="en-US"/>
        </w:rPr>
      </w:pPr>
    </w:p>
    <w:tbl>
      <w:tblPr>
        <w:tblW w:w="5000" w:type="pct"/>
        <w:tblCellMar>
          <w:left w:w="70" w:type="dxa"/>
          <w:right w:w="70" w:type="dxa"/>
        </w:tblCellMar>
        <w:tblLook w:val="04A0"/>
      </w:tblPr>
      <w:tblGrid>
        <w:gridCol w:w="7541"/>
        <w:gridCol w:w="2503"/>
      </w:tblGrid>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GASTO NETO TOTAL Y SUS CLASIFICACIONES</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5000" w:type="pct"/>
            <w:gridSpan w:val="2"/>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ANEXO 1a GASTO TOTAL, CLASIFICADO POR RAMOS AUTÓNOMOS, ADMINISTRATIVOS Y GENERALES</w:t>
            </w: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754"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RAMOS AUTÓNOMOS  </w:t>
            </w:r>
          </w:p>
        </w:tc>
        <w:tc>
          <w:tcPr>
            <w:tcW w:w="1246"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2019</w:t>
            </w:r>
          </w:p>
        </w:tc>
      </w:tr>
      <w:tr w:rsidR="006E1868" w:rsidRPr="001A33BF" w:rsidTr="000C3BC0">
        <w:trPr>
          <w:trHeight w:val="300"/>
        </w:trPr>
        <w:tc>
          <w:tcPr>
            <w:tcW w:w="3754"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PODER LEGISLATIVO</w:t>
            </w:r>
          </w:p>
        </w:tc>
        <w:tc>
          <w:tcPr>
            <w:tcW w:w="1246"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209,230,167.0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AUDITORÍA SUPERIOR DEL ESTADO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69,220,554.0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CONGRESO DEL ESTADO</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137,009,613.0</w:t>
            </w:r>
          </w:p>
        </w:tc>
      </w:tr>
      <w:tr w:rsidR="006E1868" w:rsidRPr="001A33BF" w:rsidTr="000C3BC0">
        <w:trPr>
          <w:trHeight w:val="6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UNIDAD DE VIGILANCIA Y EVALUACIÓN DE LA AUDITORÍA SUPERIOR DEL ESTADO DE YUCATAN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3,000,000.0</w:t>
            </w:r>
          </w:p>
        </w:tc>
      </w:tr>
      <w:tr w:rsidR="006E1868" w:rsidRPr="001A33BF" w:rsidTr="000C3BC0">
        <w:trPr>
          <w:trHeight w:val="300"/>
        </w:trPr>
        <w:tc>
          <w:tcPr>
            <w:tcW w:w="3754"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PODER JUDICIAL</w:t>
            </w:r>
          </w:p>
        </w:tc>
        <w:tc>
          <w:tcPr>
            <w:tcW w:w="1246"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525,121,077.0</w:t>
            </w:r>
          </w:p>
        </w:tc>
      </w:tr>
      <w:tr w:rsidR="006E1868" w:rsidRPr="001A33BF" w:rsidTr="000C3BC0">
        <w:trPr>
          <w:trHeight w:val="300"/>
        </w:trPr>
        <w:tc>
          <w:tcPr>
            <w:tcW w:w="3754"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ORGANISMOS  AUTÓNOMOS</w:t>
            </w:r>
          </w:p>
        </w:tc>
        <w:tc>
          <w:tcPr>
            <w:tcW w:w="1246"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2,770,292,220.0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COMISIÓN DE LOS DERECHOS HUMANOS DEL ESTADO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35,765,743.0</w:t>
            </w:r>
          </w:p>
        </w:tc>
      </w:tr>
      <w:tr w:rsidR="006E1868" w:rsidRPr="001A33BF" w:rsidTr="000C3BC0">
        <w:trPr>
          <w:trHeight w:val="6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ELECTORAL Y DE PARTICIPACION CIUDADANA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184,596,745.0</w:t>
            </w:r>
          </w:p>
        </w:tc>
      </w:tr>
      <w:tr w:rsidR="006E1868" w:rsidRPr="001A33BF" w:rsidTr="000C3BC0">
        <w:trPr>
          <w:trHeight w:val="6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ESTATAL DE TRANSPARENCIA, ACCESO A LA INFORMACIÓN PÚBLICA Y PROTECCIÓN DE DATOS PERSONALES</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30,708,917.0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EJECUTIVA DEL SISTEMA ESTATAL ANTICORRUPCIÓN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0.0</w:t>
            </w:r>
          </w:p>
        </w:tc>
      </w:tr>
      <w:tr w:rsidR="006E1868" w:rsidRPr="001A33BF" w:rsidTr="000C3BC0">
        <w:trPr>
          <w:trHeight w:val="6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TRIBUNAL DE JUSTICIA  ADMINISTRATIVA DEL ESTADO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31,762,274.0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TRIBUNAL ELECTORAL DEL ESTADO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31,695,287.0</w:t>
            </w:r>
          </w:p>
        </w:tc>
      </w:tr>
      <w:tr w:rsidR="006E1868" w:rsidRPr="001A33BF" w:rsidTr="000C3BC0">
        <w:trPr>
          <w:trHeight w:val="300"/>
        </w:trPr>
        <w:tc>
          <w:tcPr>
            <w:tcW w:w="3754"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AUTÓNOMA DE YUCATÁN</w:t>
            </w:r>
          </w:p>
        </w:tc>
        <w:tc>
          <w:tcPr>
            <w:tcW w:w="1246"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2,455,763,254.0</w:t>
            </w:r>
          </w:p>
        </w:tc>
      </w:tr>
      <w:tr w:rsidR="006E1868" w:rsidRPr="001A33BF" w:rsidTr="000C3BC0">
        <w:trPr>
          <w:trHeight w:val="330"/>
        </w:trPr>
        <w:tc>
          <w:tcPr>
            <w:tcW w:w="3754"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246"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3,504,643,464.0</w:t>
            </w: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754"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RAMOS ADMINISTRATIVOS </w:t>
            </w:r>
          </w:p>
        </w:tc>
        <w:tc>
          <w:tcPr>
            <w:tcW w:w="1246"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2019</w:t>
            </w:r>
          </w:p>
        </w:tc>
      </w:tr>
      <w:tr w:rsidR="006E1868" w:rsidRPr="001A33BF" w:rsidTr="000C3BC0">
        <w:trPr>
          <w:trHeight w:val="315"/>
        </w:trPr>
        <w:tc>
          <w:tcPr>
            <w:tcW w:w="3754" w:type="pct"/>
            <w:tcBorders>
              <w:top w:val="single" w:sz="4" w:space="0" w:color="FFFFFF"/>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CONSEJERÍA JURÍDICA</w:t>
            </w:r>
          </w:p>
        </w:tc>
        <w:tc>
          <w:tcPr>
            <w:tcW w:w="1246" w:type="pct"/>
            <w:tcBorders>
              <w:top w:val="single" w:sz="4" w:space="0" w:color="FFFFFF"/>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194,092,320.0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DESPACHO DEL GOBERNADOR</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31,603,112.0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FISCALÍA GENERAL DEL ESTADO</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445,034,889.0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ADMINISTRACIÓN Y FINANZAS</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2,577,246,092.0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RURAL</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486,719,242.0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SOCIAL</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881,228,978.0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SUSTENTABLE</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572,030,540.0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EDUCACIÓN</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11,063,331,415.0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FOMENTO ECONÓMICO Y TRABAJO</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626,950,001.0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FOMENTO TURÍSTICO</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503,694,911.0 </w:t>
            </w:r>
          </w:p>
        </w:tc>
      </w:tr>
      <w:tr w:rsidR="006E1868" w:rsidRPr="001A33BF" w:rsidTr="000C3BC0">
        <w:trPr>
          <w:trHeight w:val="630"/>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SECRETARIA DE INVESTIGACIÓN, INNOVACIÓN Y EDUCACIÓN SUPERIOR</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772,448,877.0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 CONTRALORÍA GENERAL</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90,285,285.0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 CULTURA Y LAS ARTES</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510,588,207.0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LAS MUJERES</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77,798,839.0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OBRAS PÚBLICAS</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1,760,185,527.0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PESCA Y ACUACULTURA SUSTENTABLES</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114,459,907.0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SALUD</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5,318,579,742.0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SEGURIDAD PÚBLICA</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2,575,978,206.0 </w:t>
            </w:r>
          </w:p>
        </w:tc>
      </w:tr>
      <w:tr w:rsidR="006E1868" w:rsidRPr="001A33BF" w:rsidTr="000C3BC0">
        <w:trPr>
          <w:trHeight w:val="630"/>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EJECUTIVA DEL SISTEMA ESTATAL ANTICORRUPCIÓN</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19,582,640.0 </w:t>
            </w:r>
          </w:p>
        </w:tc>
      </w:tr>
      <w:tr w:rsidR="006E1868" w:rsidRPr="001A33BF" w:rsidTr="000C3BC0">
        <w:trPr>
          <w:trHeight w:val="315"/>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GENERAL DE GOBIERNO</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604,406,052.0 </w:t>
            </w:r>
          </w:p>
        </w:tc>
      </w:tr>
      <w:tr w:rsidR="006E1868" w:rsidRPr="001A33BF" w:rsidTr="000C3BC0">
        <w:trPr>
          <w:trHeight w:val="330"/>
        </w:trPr>
        <w:tc>
          <w:tcPr>
            <w:tcW w:w="3754"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246"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29,226,244,782.0</w:t>
            </w: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754"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RAMOS GENERALES </w:t>
            </w:r>
          </w:p>
        </w:tc>
        <w:tc>
          <w:tcPr>
            <w:tcW w:w="1246"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2019</w:t>
            </w:r>
          </w:p>
        </w:tc>
      </w:tr>
      <w:tr w:rsidR="006E1868" w:rsidRPr="001A33BF" w:rsidTr="000C3BC0">
        <w:trPr>
          <w:trHeight w:val="300"/>
        </w:trPr>
        <w:tc>
          <w:tcPr>
            <w:tcW w:w="3754" w:type="pct"/>
            <w:tcBorders>
              <w:top w:val="single" w:sz="4" w:space="0" w:color="FFFFFF"/>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DEUDA PÚBLICA</w:t>
            </w:r>
          </w:p>
        </w:tc>
        <w:tc>
          <w:tcPr>
            <w:tcW w:w="1246" w:type="pct"/>
            <w:tcBorders>
              <w:top w:val="single" w:sz="4" w:space="0" w:color="FFFFFF"/>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550,309,260.0 </w:t>
            </w:r>
          </w:p>
        </w:tc>
      </w:tr>
      <w:tr w:rsidR="006E1868" w:rsidRPr="001A33BF" w:rsidTr="000C3BC0">
        <w:trPr>
          <w:trHeight w:val="600"/>
        </w:trPr>
        <w:tc>
          <w:tcPr>
            <w:tcW w:w="3754"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JUBILACIONES Y PENSIONES</w:t>
            </w:r>
          </w:p>
        </w:tc>
        <w:tc>
          <w:tcPr>
            <w:tcW w:w="1246" w:type="pct"/>
            <w:tcBorders>
              <w:top w:val="nil"/>
              <w:left w:val="single" w:sz="4" w:space="0" w:color="000000"/>
              <w:bottom w:val="single" w:sz="4" w:space="0" w:color="FFFFFF"/>
              <w:right w:val="single" w:sz="4" w:space="0" w:color="FFFFFF"/>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641,182,171.0 </w:t>
            </w:r>
          </w:p>
        </w:tc>
      </w:tr>
      <w:tr w:rsidR="006E1868" w:rsidRPr="001A33BF" w:rsidTr="000C3BC0">
        <w:trPr>
          <w:trHeight w:val="630"/>
        </w:trPr>
        <w:tc>
          <w:tcPr>
            <w:tcW w:w="3754"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PARTICIPACIONES,  APORTACIONES  Y TRANSFERENCIAS A MUNICIPIOS</w:t>
            </w:r>
          </w:p>
        </w:tc>
        <w:tc>
          <w:tcPr>
            <w:tcW w:w="1246" w:type="pct"/>
            <w:tcBorders>
              <w:top w:val="nil"/>
              <w:left w:val="single" w:sz="4" w:space="0" w:color="000000"/>
              <w:bottom w:val="single" w:sz="4" w:space="0" w:color="FFFFFF"/>
              <w:right w:val="single" w:sz="4" w:space="0" w:color="FFFFFF"/>
            </w:tcBorders>
            <w:shd w:val="clear" w:color="000000" w:fill="F2F2F2"/>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6,667,628,987.0 </w:t>
            </w:r>
          </w:p>
        </w:tc>
      </w:tr>
      <w:tr w:rsidR="006E1868" w:rsidRPr="001A33BF" w:rsidTr="000C3BC0">
        <w:trPr>
          <w:trHeight w:val="315"/>
        </w:trPr>
        <w:tc>
          <w:tcPr>
            <w:tcW w:w="375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246"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7,859,120,418.0</w:t>
            </w:r>
          </w:p>
        </w:tc>
      </w:tr>
      <w:tr w:rsidR="006E1868" w:rsidRPr="001A33BF" w:rsidTr="000C3BC0">
        <w:trPr>
          <w:trHeight w:val="300"/>
        </w:trPr>
        <w:tc>
          <w:tcPr>
            <w:tcW w:w="3754"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p>
        </w:tc>
        <w:tc>
          <w:tcPr>
            <w:tcW w:w="124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75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GASTO TOTAL</w:t>
            </w:r>
          </w:p>
        </w:tc>
        <w:tc>
          <w:tcPr>
            <w:tcW w:w="1246"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40,590,008,664.0</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7889"/>
        <w:gridCol w:w="2155"/>
      </w:tblGrid>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ANEXO 2 CLASIFICACIONES DEL GASTO</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ANEXO 2A CLASIFICACIÓN ADMINISTRATIVA (pesos)</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 PODER EJECUTIVO</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937"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DEPENDENCIAS </w:t>
            </w:r>
          </w:p>
        </w:tc>
        <w:tc>
          <w:tcPr>
            <w:tcW w:w="106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IMPORTE</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CONSEJERÍA JURÍDICA</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125,902,377.0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DESPACHO DEL GOBERNADOR</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31,603,112.0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FISCALÍA GENERAL DEL ESTADO</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445,034,889.0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ADMINISTRACIÓN Y FINANZAS</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953,747,857.0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RURAL</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486,719,242.0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SOCIAL</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337,745,106.0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DESARROLLO SUSTENTABLE</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109,656,355.0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EDUCACIÓN</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9,828,444,271.0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FOMENTO ECONÓMICO Y TRABAJO</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460,156,565.0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FOMENTO TURÍSTICO</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195,861,987.0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SECRETARIA DE INVESTIGACIÓN, INNOVACIÓN Y EDUCACIÓN SUPERIOR</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146,580,923.0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 CONTRALORÍA GENERAL</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90,285,285.0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 CULTURA Y LAS ARTES</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467,840,657.0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LAS MUJERES</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77,798,839.0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OBRAS PÚBLICAS</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16,375,184.0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PESCA Y ACUACULTURA SUSTENTABLES</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114,459,907.0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SALUD</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1,500,000.0 </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DE SEGURIDAD PÚBLICA</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2,575,978,206.0 </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GENERAL DE GOBIERNO</w:t>
            </w:r>
          </w:p>
        </w:tc>
        <w:tc>
          <w:tcPr>
            <w:tcW w:w="1063" w:type="pct"/>
            <w:tcBorders>
              <w:top w:val="nil"/>
              <w:left w:val="nil"/>
              <w:bottom w:val="nil"/>
              <w:right w:val="nil"/>
            </w:tcBorders>
            <w:shd w:val="clear" w:color="000000" w:fill="F2F2F2"/>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531,864,224.0 </w:t>
            </w:r>
          </w:p>
        </w:tc>
      </w:tr>
      <w:tr w:rsidR="006E1868" w:rsidRPr="001A33BF" w:rsidTr="000C3BC0">
        <w:trPr>
          <w:trHeight w:val="330"/>
        </w:trPr>
        <w:tc>
          <w:tcPr>
            <w:tcW w:w="3937"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063"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16,997,554,986.0 </w:t>
            </w: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bl>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7923"/>
        <w:gridCol w:w="2121"/>
      </w:tblGrid>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 ENTIDADES PARAESTATALES Y FIDEICOMISOS NO EMPRESARIALES Y NO FINANCIEROS</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937"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DEPENDENCIA COORDINADORA/ ENTIDAD </w:t>
            </w:r>
          </w:p>
        </w:tc>
        <w:tc>
          <w:tcPr>
            <w:tcW w:w="106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IMPORTE</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CONSEJERÍA JURÍDICA</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68,189,943.0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SEGURIDAD JURÍDICA PATRIMONIAL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68,189,943.0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ADMINISTRACIÓN Y FINANZAS</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32,778,361.0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FIDEICOMISO PÚBLICO PARA LA ADMINISTRACIÓN DE LA RESERVA TERRITORIAL DE UCÚ</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4,865,264.0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SECRETARIA TÉCNICA DE PLANEACIÓN Y EVALUACIÓN.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27,913,097.0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DESARROLLO SOCIAL</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543,483,872.0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JUNTA DE  ASISTENCIA PRIVADA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6,205,964.0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SISTEMA PARA EL DESARROLLO INTEGRAL DE LA FAMILIA EN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532,277,908.0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PARA LA INCLUSIÓN DE LAS PERSONAS CON DISCAPACIDAD DEL EDO.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5,000,000.0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DESARROLLO SUSTENTABLE</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462,374,185.0</w:t>
            </w:r>
          </w:p>
        </w:tc>
      </w:tr>
      <w:tr w:rsidR="006E1868" w:rsidRPr="001A33BF" w:rsidTr="000C3BC0">
        <w:trPr>
          <w:trHeight w:val="6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COORDINACIÓN METROPOLITANA DE DESARROLLO URBANO, TERRITORIAL Y MOVILIDAD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462,374,185.0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EDUCACIÓN</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1,234,887,144.0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COLEGIO DE BACHILLERES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437,117,736.0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COLEGIO DE EDUCACIÓN PROFESIONAL TÉCNICA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130,824,597.0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COLEGIO DE ESTUDIOS CIENTÍFICOS Y TECNOLÓGICOS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120,657,499.0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BECAS  Y CRÉDITO EDUCATIVO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224,469,829.0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EDUCACIÓN PARA ADULTOS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116,787,271.0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DEL DEPORTE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205,030,212.0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FOMENTO ECONÓMICO Y TRABAJO</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146,741,116.0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CASA DE LAS ARTESANÍAS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20,204,832.0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PROMOTOR DE FERIAS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87,648,883.0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YUCATECO DE EMPRENDEDORES</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38,887,401.0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FOMENTO TURÍSTICO</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307,832,924.0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FIDEICOMISO PARA EL DESARROLLO DEL TURISMO DE REUNIONES EN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81,935,817.0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FIDEICOMISO PARA LA PROMOCIÓN TURÍSTICA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53,898,698.0</w:t>
            </w:r>
          </w:p>
        </w:tc>
      </w:tr>
      <w:tr w:rsidR="006E1868" w:rsidRPr="001A33BF" w:rsidTr="000C3BC0">
        <w:trPr>
          <w:trHeight w:val="6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PATRONATO DE LAS UNIDADES DE SERVICIOS CULTURALES Y TURÍSTICOS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171,998,409.0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SECRETARIA DE INVESTIGACIÓN, INNOVACIÓN Y EDUCACIÓN SUPERIOR</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625,867,954.0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AGENCIA PARA EL DESARROLLO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7,678,169.0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ESCUELA SUPERIOR DE ARTES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34,567,258.0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CAPACITACIÓN PARA EL TRABAJO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9,621,925.0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INSTITUTO TECNOLÓGICO SUPERIOR DE MOTUL</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36,447,044.0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TECNOLÓGICO SUPERIOR DE VALLADOLID</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42,937,549.0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TECNOLÓGICO SUPERIOR DEL SUR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38,816,585.0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TECNOLÓGICO SUPERIOR PROGRESO</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43,623,501.0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DE ORIENTE</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71,497,298.0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POLITÉCNICA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31,064,310.0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TECNOLÓGICA DEL CENTRO</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22,693,625.0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TECNOLÓGICA DEL MAYAB</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32,713,875.0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TECNOLÓGICA DEL PONIENTE</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41,790,353.0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TECNOLÓGICA METROPOLITANA</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179,901,682.0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UNIVERSIDAD TECNOLÓGICA REGIONAL DEL SUR</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32,514,780.0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EJECUTIVA DEL SISTEMA ESTATAL ANTICORRUPCIÓN</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19,582,640.0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SECRETARÍA EJECUTIVA</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19,582,640.0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LA CULTURA Y LAS ARTES</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42,747,550.0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FIDEICOMISO GARANTE DE LA ORQUESTA SINFÓNICA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42,747,550.0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OBRAS PÚBLICAS</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1,743,810,343.0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INFRAESTRUCTURA CARRETERA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426,657,282.0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VIVIENDA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344,798,102.0</w:t>
            </w:r>
          </w:p>
        </w:tc>
      </w:tr>
      <w:tr w:rsidR="006E1868" w:rsidRPr="001A33BF" w:rsidTr="000C3BC0">
        <w:trPr>
          <w:trHeight w:val="6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PARA EL DESARROLLO Y CERTIFICACIÓN DE LA INFRAESTRUCTURA FÍSICA EDUCATIVA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23,743,196.0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PARA LA CONSTRUCCIÓN Y CONSERVACIÓN DE OBRA PÚBLICA EN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292,549,591.0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JUNTA DE AGUA POTABLE Y ALCANTARILLADO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625,536,774.0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LA JUNTA DE ELECTRIFICACIÓN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30,525,398.0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SALUD</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5,317,079,742.0</w:t>
            </w:r>
          </w:p>
        </w:tc>
      </w:tr>
      <w:tr w:rsidR="006E1868" w:rsidRPr="001A33BF" w:rsidTr="000C3BC0">
        <w:trPr>
          <w:trHeight w:val="300"/>
        </w:trPr>
        <w:tc>
          <w:tcPr>
            <w:tcW w:w="3937" w:type="pct"/>
            <w:tcBorders>
              <w:top w:val="nil"/>
              <w:left w:val="nil"/>
              <w:bottom w:val="nil"/>
              <w:right w:val="nil"/>
            </w:tcBorders>
            <w:shd w:val="clear" w:color="auto" w:fill="auto"/>
            <w:vAlign w:val="center"/>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ADMINISTRACIÓN DEL PATRIMONIO DE LA BENEFICENCIA PÚBLICA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1,498,996.0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CENTRO ESTATAL DE TRASPLANTES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2,804,200.0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HOSPITAL COMUNITARIO DE PETO YUCATAN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36,312,351.0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HOSPITAL COMUNITARIO DE TICUL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42,805,968.0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HOSPITAL DE LA AMISTAD</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64,863,841.0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HOSPITAL GENERAL DE TEKAX</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10,000,000.0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OPD SERVICIOS DE SALUD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4,961,438,061.0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RÉGIMEN ESTATAL DE PROTECCIÓN SOCIAL EN SALUD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197,356,325.0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GENERAL DE GOBIERNO</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39,115,349.0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COMISIÓN EJECUTIVA ESTATAL DE ATENCIÓN A VÍCTIMAS</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23,344,226.0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PARA EL DESARROLLO DE LA CULTURA MAYA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15,771,123.0</w:t>
            </w:r>
          </w:p>
        </w:tc>
      </w:tr>
      <w:tr w:rsidR="006E1868" w:rsidRPr="001A33BF" w:rsidTr="000C3BC0">
        <w:trPr>
          <w:trHeight w:val="330"/>
        </w:trPr>
        <w:tc>
          <w:tcPr>
            <w:tcW w:w="3937"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063"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10,584,491,123.0</w:t>
            </w: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5000" w:type="pct"/>
            <w:gridSpan w:val="2"/>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 ENTIDADES PARAESTATALES EMPRESARIALES NO FINANCIERAS CON PARTICIPACIÓN ESTATAL MAYORITARIA</w:t>
            </w: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937"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DEPENDENCIA COORDINADORA/ ENTIDAD </w:t>
            </w:r>
          </w:p>
        </w:tc>
        <w:tc>
          <w:tcPr>
            <w:tcW w:w="106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IMPORTE</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GENERAL DE GOBIERNO</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33,426,479.0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SISTEMA TELE YUCATÁN SA DE CV</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33,426,479.0</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FOMENTO ECONÓMICO Y TRABAJO</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20,052,320.0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AEROPUERTO  DE CHICHÉN ITZÁ DEL ESTADO DE YUCATÁN SA DE CV</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1,949,608.0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EMPRESA PORTUARIA YUCATECA SA DE CV</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18,102,712.0</w:t>
            </w:r>
          </w:p>
        </w:tc>
      </w:tr>
      <w:tr w:rsidR="006E1868" w:rsidRPr="001A33BF" w:rsidTr="000C3BC0">
        <w:trPr>
          <w:trHeight w:val="330"/>
        </w:trPr>
        <w:tc>
          <w:tcPr>
            <w:tcW w:w="3937"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063"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53,478,799.0</w:t>
            </w: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INSTITUCIONES PÚBLICAS DE SEGURIDAD SOCIAL</w:t>
            </w: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937"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937"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DEPENDENCIA COORDINADORA/ ENTIDAD </w:t>
            </w:r>
          </w:p>
        </w:tc>
        <w:tc>
          <w:tcPr>
            <w:tcW w:w="106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IMPORTE</w:t>
            </w:r>
          </w:p>
        </w:tc>
      </w:tr>
      <w:tr w:rsidR="006E1868" w:rsidRPr="001A33BF" w:rsidTr="000C3BC0">
        <w:trPr>
          <w:trHeight w:val="300"/>
        </w:trPr>
        <w:tc>
          <w:tcPr>
            <w:tcW w:w="3937" w:type="pct"/>
            <w:tcBorders>
              <w:top w:val="nil"/>
              <w:left w:val="nil"/>
              <w:bottom w:val="nil"/>
              <w:right w:val="nil"/>
            </w:tcBorders>
            <w:shd w:val="clear" w:color="000000" w:fill="F2F2F2"/>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SECRETARÍA DE ADMINISTRACIÓN Y FINANZAS</w:t>
            </w:r>
          </w:p>
        </w:tc>
        <w:tc>
          <w:tcPr>
            <w:tcW w:w="1063" w:type="pct"/>
            <w:tcBorders>
              <w:top w:val="nil"/>
              <w:left w:val="nil"/>
              <w:bottom w:val="nil"/>
              <w:right w:val="nil"/>
            </w:tcBorders>
            <w:shd w:val="clear" w:color="000000" w:fill="F2F2F2"/>
            <w:noWrap/>
            <w:vAlign w:val="center"/>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1,590,719,874.0</w:t>
            </w:r>
          </w:p>
        </w:tc>
      </w:tr>
      <w:tr w:rsidR="006E1868" w:rsidRPr="001A33BF" w:rsidTr="000C3BC0">
        <w:trPr>
          <w:trHeight w:val="300"/>
        </w:trPr>
        <w:tc>
          <w:tcPr>
            <w:tcW w:w="3937"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INSTITUTO DE SEGURIDAD SOCIAL DE LOS TRABAJADORES DEL ESTADO DE YUCATÁN</w:t>
            </w:r>
          </w:p>
        </w:tc>
        <w:tc>
          <w:tcPr>
            <w:tcW w:w="1063" w:type="pct"/>
            <w:tcBorders>
              <w:top w:val="nil"/>
              <w:left w:val="nil"/>
              <w:bottom w:val="nil"/>
              <w:right w:val="nil"/>
            </w:tcBorders>
            <w:shd w:val="clear" w:color="auto" w:fill="auto"/>
            <w:noWrap/>
            <w:vAlign w:val="center"/>
            <w:hideMark/>
          </w:tcPr>
          <w:p w:rsidR="006E1868" w:rsidRPr="001A33BF" w:rsidRDefault="006E1868" w:rsidP="000C3BC0">
            <w:pPr>
              <w:jc w:val="right"/>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1,590,719,874.0</w:t>
            </w:r>
          </w:p>
        </w:tc>
      </w:tr>
      <w:tr w:rsidR="006E1868" w:rsidRPr="001A33BF" w:rsidTr="000C3BC0">
        <w:trPr>
          <w:trHeight w:val="330"/>
        </w:trPr>
        <w:tc>
          <w:tcPr>
            <w:tcW w:w="3937"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063" w:type="pct"/>
            <w:tcBorders>
              <w:top w:val="single" w:sz="4" w:space="0" w:color="4F81BD"/>
              <w:left w:val="nil"/>
              <w:bottom w:val="single" w:sz="8" w:space="0" w:color="4F81BD"/>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1,590,719,874.0</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2241"/>
        <w:gridCol w:w="4928"/>
        <w:gridCol w:w="2875"/>
      </w:tblGrid>
      <w:tr w:rsidR="006E1868" w:rsidRPr="001A33BF" w:rsidTr="000C3BC0">
        <w:trPr>
          <w:trHeight w:val="300"/>
        </w:trPr>
        <w:tc>
          <w:tcPr>
            <w:tcW w:w="5000" w:type="pct"/>
            <w:gridSpan w:val="3"/>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ANEXO 2b CLASIFICACIÓN POR FUENTE DE FINANCIAMIENTO Y MONTO</w:t>
            </w:r>
          </w:p>
        </w:tc>
      </w:tr>
      <w:tr w:rsidR="006E1868" w:rsidRPr="001A33BF" w:rsidTr="000C3BC0">
        <w:trPr>
          <w:trHeight w:val="300"/>
        </w:trPr>
        <w:tc>
          <w:tcPr>
            <w:tcW w:w="111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245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431"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1116"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TIPO </w:t>
            </w:r>
          </w:p>
        </w:tc>
        <w:tc>
          <w:tcPr>
            <w:tcW w:w="245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FUENTE DE FINACIAMIENTO</w:t>
            </w:r>
          </w:p>
        </w:tc>
        <w:tc>
          <w:tcPr>
            <w:tcW w:w="1431"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IMPORTE  </w:t>
            </w:r>
          </w:p>
        </w:tc>
      </w:tr>
      <w:tr w:rsidR="006E1868" w:rsidRPr="001A33BF" w:rsidTr="000C3BC0">
        <w:trPr>
          <w:trHeight w:val="300"/>
        </w:trPr>
        <w:tc>
          <w:tcPr>
            <w:tcW w:w="3569" w:type="pct"/>
            <w:gridSpan w:val="2"/>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I. Gasto No Etiquetado</w:t>
            </w:r>
          </w:p>
        </w:tc>
        <w:tc>
          <w:tcPr>
            <w:tcW w:w="1431" w:type="pct"/>
            <w:tcBorders>
              <w:top w:val="nil"/>
              <w:left w:val="nil"/>
              <w:bottom w:val="nil"/>
              <w:right w:val="nil"/>
            </w:tcBorders>
            <w:shd w:val="clear" w:color="000000" w:fill="F2F2F2"/>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22,148,351,672.0 </w:t>
            </w:r>
          </w:p>
        </w:tc>
      </w:tr>
      <w:tr w:rsidR="006E1868" w:rsidRPr="001A33BF" w:rsidTr="000C3BC0">
        <w:trPr>
          <w:trHeight w:val="300"/>
        </w:trPr>
        <w:tc>
          <w:tcPr>
            <w:tcW w:w="1116"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p>
        </w:tc>
        <w:tc>
          <w:tcPr>
            <w:tcW w:w="2453"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Ingresos Propios</w:t>
            </w:r>
          </w:p>
        </w:tc>
        <w:tc>
          <w:tcPr>
            <w:tcW w:w="1431" w:type="pct"/>
            <w:tcBorders>
              <w:top w:val="nil"/>
              <w:left w:val="nil"/>
              <w:bottom w:val="nil"/>
              <w:right w:val="nil"/>
            </w:tcBorders>
            <w:shd w:val="clear" w:color="auto" w:fill="auto"/>
            <w:vAlign w:val="bottom"/>
            <w:hideMark/>
          </w:tcPr>
          <w:p w:rsidR="006E1868" w:rsidRPr="001A33BF" w:rsidRDefault="006E1868" w:rsidP="000C3BC0">
            <w:pPr>
              <w:ind w:firstLineChars="400" w:firstLine="8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3,126,559,657.0 </w:t>
            </w:r>
          </w:p>
        </w:tc>
      </w:tr>
      <w:tr w:rsidR="006E1868" w:rsidRPr="001A33BF" w:rsidTr="000C3BC0">
        <w:trPr>
          <w:trHeight w:val="300"/>
        </w:trPr>
        <w:tc>
          <w:tcPr>
            <w:tcW w:w="1116" w:type="pct"/>
            <w:tcBorders>
              <w:top w:val="nil"/>
              <w:left w:val="nil"/>
              <w:bottom w:val="nil"/>
              <w:right w:val="nil"/>
            </w:tcBorders>
            <w:shd w:val="clear" w:color="auto" w:fill="auto"/>
            <w:noWrap/>
            <w:vAlign w:val="bottom"/>
            <w:hideMark/>
          </w:tcPr>
          <w:p w:rsidR="006E1868" w:rsidRPr="001A33BF" w:rsidRDefault="006E1868" w:rsidP="000C3BC0">
            <w:pPr>
              <w:ind w:firstLineChars="400" w:firstLine="800"/>
              <w:rPr>
                <w:rFonts w:ascii="Barlow Medium" w:eastAsia="Times New Roman" w:hAnsi="Barlow Medium" w:cs="Times New Roman"/>
                <w:color w:val="000000"/>
                <w:sz w:val="20"/>
                <w:szCs w:val="20"/>
                <w:lang w:val="es-MX" w:eastAsia="es-MX"/>
              </w:rPr>
            </w:pPr>
          </w:p>
        </w:tc>
        <w:tc>
          <w:tcPr>
            <w:tcW w:w="2453"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Recursos Federales</w:t>
            </w:r>
          </w:p>
        </w:tc>
        <w:tc>
          <w:tcPr>
            <w:tcW w:w="1431"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14,813,109,213.0 </w:t>
            </w:r>
          </w:p>
        </w:tc>
      </w:tr>
      <w:tr w:rsidR="006E1868" w:rsidRPr="001A33BF" w:rsidTr="000C3BC0">
        <w:trPr>
          <w:trHeight w:val="300"/>
        </w:trPr>
        <w:tc>
          <w:tcPr>
            <w:tcW w:w="1116"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p>
        </w:tc>
        <w:tc>
          <w:tcPr>
            <w:tcW w:w="2453"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Recursos Fiscales</w:t>
            </w:r>
          </w:p>
        </w:tc>
        <w:tc>
          <w:tcPr>
            <w:tcW w:w="1431"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4,208,682,802.0 </w:t>
            </w:r>
          </w:p>
        </w:tc>
      </w:tr>
      <w:tr w:rsidR="006E1868" w:rsidRPr="001A33BF" w:rsidTr="000C3BC0">
        <w:trPr>
          <w:trHeight w:val="300"/>
        </w:trPr>
        <w:tc>
          <w:tcPr>
            <w:tcW w:w="3569" w:type="pct"/>
            <w:gridSpan w:val="2"/>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II. Gasto Etiquetado</w:t>
            </w:r>
          </w:p>
        </w:tc>
        <w:tc>
          <w:tcPr>
            <w:tcW w:w="1431" w:type="pct"/>
            <w:tcBorders>
              <w:top w:val="nil"/>
              <w:left w:val="nil"/>
              <w:bottom w:val="nil"/>
              <w:right w:val="nil"/>
            </w:tcBorders>
            <w:shd w:val="clear" w:color="000000" w:fill="F2F2F2"/>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18,441,656,992.0 </w:t>
            </w:r>
          </w:p>
        </w:tc>
      </w:tr>
      <w:tr w:rsidR="006E1868" w:rsidRPr="001A33BF" w:rsidTr="000C3BC0">
        <w:trPr>
          <w:trHeight w:val="300"/>
        </w:trPr>
        <w:tc>
          <w:tcPr>
            <w:tcW w:w="1116"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p>
        </w:tc>
        <w:tc>
          <w:tcPr>
            <w:tcW w:w="2453"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Recursos Federales</w:t>
            </w:r>
          </w:p>
        </w:tc>
        <w:tc>
          <w:tcPr>
            <w:tcW w:w="1431" w:type="pct"/>
            <w:tcBorders>
              <w:top w:val="nil"/>
              <w:left w:val="nil"/>
              <w:bottom w:val="nil"/>
              <w:right w:val="nil"/>
            </w:tcBorders>
            <w:shd w:val="clear" w:color="auto" w:fill="auto"/>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18,441,656,992.0 </w:t>
            </w:r>
          </w:p>
        </w:tc>
      </w:tr>
      <w:tr w:rsidR="006E1868" w:rsidRPr="001A33BF" w:rsidTr="000C3BC0">
        <w:trPr>
          <w:trHeight w:val="315"/>
        </w:trPr>
        <w:tc>
          <w:tcPr>
            <w:tcW w:w="1116"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 general</w:t>
            </w:r>
          </w:p>
        </w:tc>
        <w:tc>
          <w:tcPr>
            <w:tcW w:w="2453"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1431"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40,590,008,664.0</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8416"/>
        <w:gridCol w:w="1628"/>
      </w:tblGrid>
      <w:tr w:rsidR="006E1868" w:rsidRPr="001A33BF" w:rsidTr="000C3BC0">
        <w:trPr>
          <w:trHeight w:val="300"/>
        </w:trPr>
        <w:tc>
          <w:tcPr>
            <w:tcW w:w="3261"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2c CLASIFICACIÓN FUNCIONAL POR FINALIDAD, FUNCIÓN, SUBFUNCIÓN Y MONTO</w:t>
            </w:r>
          </w:p>
        </w:tc>
        <w:tc>
          <w:tcPr>
            <w:tcW w:w="1739"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r>
      <w:tr w:rsidR="006E1868" w:rsidRPr="001A33BF" w:rsidTr="000C3BC0">
        <w:trPr>
          <w:trHeight w:val="300"/>
        </w:trPr>
        <w:tc>
          <w:tcPr>
            <w:tcW w:w="3261"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39" w:type="pct"/>
            <w:tcBorders>
              <w:top w:val="nil"/>
              <w:left w:val="nil"/>
              <w:bottom w:val="nil"/>
              <w:right w:val="nil"/>
            </w:tcBorders>
            <w:shd w:val="clear" w:color="auto" w:fill="auto"/>
            <w:noWrap/>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261"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CLASIFICACIÓN FUNCIONAL</w:t>
            </w:r>
          </w:p>
        </w:tc>
        <w:tc>
          <w:tcPr>
            <w:tcW w:w="1739"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 IMPORTE </w:t>
            </w:r>
          </w:p>
        </w:tc>
      </w:tr>
      <w:tr w:rsidR="006E1868" w:rsidRPr="001A33BF" w:rsidTr="000C3BC0">
        <w:trPr>
          <w:trHeight w:val="300"/>
        </w:trPr>
        <w:tc>
          <w:tcPr>
            <w:tcW w:w="3261" w:type="pct"/>
            <w:tcBorders>
              <w:top w:val="nil"/>
              <w:left w:val="nil"/>
              <w:bottom w:val="single" w:sz="4" w:space="0" w:color="95B3D7"/>
              <w:right w:val="nil"/>
            </w:tcBorders>
            <w:shd w:val="clear" w:color="000000" w:fill="FFFFFF"/>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 Gobierno</w:t>
            </w:r>
          </w:p>
        </w:tc>
        <w:tc>
          <w:tcPr>
            <w:tcW w:w="1739" w:type="pct"/>
            <w:tcBorders>
              <w:top w:val="nil"/>
              <w:left w:val="nil"/>
              <w:bottom w:val="nil"/>
              <w:right w:val="nil"/>
            </w:tcBorders>
            <w:shd w:val="clear" w:color="000000" w:fill="FFFFFF"/>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6,049,514,602.0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01.02.02- Justicia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12,706,789.0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01.02.02.02- Procuración de Justicia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12,706,789.0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01.02.03- Coordinación de la Política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33,928,515.0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01.02.03.01- Presidencia/Gubernatura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33,916,595.0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01.02.03.04- Función Pública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11,920.0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01.04.03- Coordinación de la Política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129,588,848.0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01.04.03.04- Función Pública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11,163,212.0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01.04.03.07- Población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2,590,768.0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01.04.03.08- Territorio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115,834,868.0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01.05.01- Legislación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137,009,613.0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01.05.01.01- Legislación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137,009,613.0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01.05.02- Justicia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1,342,766,151.0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01.05.02.01- Impartición de Justicia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610,198,520.0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01.05.02.02- Procuración de Justicia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485,029,788.0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01.05.02.03- Reclusión y Readaptación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189,699,872.0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01.05.02.04- Derechos Humanos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57,837,971.0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01.05.03- Coordinación de la Política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86,188,342.0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01.05.03.04- Función Pública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1,148,915.0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01.05.03.05- Asuntos Jurídicos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85,039,427.0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01.05.07- Asuntos de Orden Público y Seguridad Interior</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2,615,505,530.0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01.05.07.01- Policía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2,538,719,909.0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01.05.07.02- Protección Civil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31,133,148.0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01.05.07.03- Otros Asuntos de Orden Público y Seguridad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45,652,473.0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01.05.08- Otros Servicios Generales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121,089,022.0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01.05.08.01- Servicios Registrales, Administrativos y Patrimoniales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114,361,066.0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01.05.08.04- Acceso a la Información Pública Gubernamental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6,727,956.0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 Coordinación de la Política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613,894,491.0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01.06.03.01- Presidencia / Gubernatura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197,516,330.0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01.06.03.02- Política Interior</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26,929,234.0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01.06.03.04- Función Pública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179,949,288.0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01.06.03.06- Organización de Procesos Electorales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184,596,745.0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01.06.03.09- Otros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24,902,894.0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01.06.05- Asuntos Financieros y Hacendarios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719,070,765.0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01.06.05.02- Asuntos Hacendarios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719,070,765.0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01.06.08- Otros Servicios Generales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237,766,536.0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01.06.08.03- Servicios de Comunicación y Medios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203,734,184.0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01.06.08.04- Acceso a la Información Pública Gubernamental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34,032,352.0 </w:t>
            </w:r>
          </w:p>
        </w:tc>
      </w:tr>
      <w:tr w:rsidR="006E1868" w:rsidRPr="001A33BF" w:rsidTr="000C3BC0">
        <w:trPr>
          <w:trHeight w:val="300"/>
        </w:trPr>
        <w:tc>
          <w:tcPr>
            <w:tcW w:w="3261" w:type="pct"/>
            <w:tcBorders>
              <w:top w:val="nil"/>
              <w:left w:val="nil"/>
              <w:bottom w:val="single" w:sz="4" w:space="0" w:color="95B3D7"/>
              <w:right w:val="nil"/>
            </w:tcBorders>
            <w:shd w:val="clear" w:color="000000" w:fill="FFFFFF"/>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 Desarrollo Social</w:t>
            </w:r>
          </w:p>
        </w:tc>
        <w:tc>
          <w:tcPr>
            <w:tcW w:w="1739" w:type="pct"/>
            <w:tcBorders>
              <w:top w:val="nil"/>
              <w:left w:val="nil"/>
              <w:bottom w:val="nil"/>
              <w:right w:val="nil"/>
            </w:tcBorders>
            <w:shd w:val="clear" w:color="000000" w:fill="FFFFFF"/>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24,868,816,861.0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02.02.02- Vivienda y Servicios a la Comunidad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430,192,411.0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02.02.02.05- Vivienda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430,192,411.0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 Salud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5,361,089,637.0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02.02.03.01- Prestación de Servicios a la Comunidad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430,446,210.0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02.02.03.02- Prestación de Servicios de Salud a la Persona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4,348,342,026.0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02.02.03.03- Generación de Recursos para la Salud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83,235,916.0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02.02.03.04- Rectoría del Sistema de Salud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315,626,953.0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02.02.03.05- Protección Social en Salud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183,438,532.0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02.02.04- Recreación, Cultura y otras Manifestaciones Sociales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10,362,155.0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02.02.04.04- Asuntos Religiosos y Otras Manifestaciones Sociales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10,362,155.0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02.02.06- Protección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1,048,146,725.0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02.02.06.05- Alimentación y Nutrición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276,988,409.0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02.02.06.07- Indígenas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38,420,386.0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02.02.06.08- Otros Grupos Vulnerables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587,606,506.0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02.02.06.09- Otros de Seguridad Social y Asistencia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145,131,424.0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02.02.07- Otros Asuntos Sociales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30,775,479.0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02.02.07.01- Otros Asuntos Sociales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30,775,479.0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02.03.04- Recreación, Cultura y Otras Manifestaciones Sociales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792,620,599.0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02.03.04.01- Deporte y Recreación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276,929,737.0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02.03.04.02- Cultura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515,690,862.0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 Educación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13,970,487,726.0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02.03.05.01- Educación Básica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7,557,556,302.0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02.03.05.02- Educación Media Superior</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740,003,078.0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02.03.05.03- Educación Superior</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2,322,507,595.0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02.03.05.05- Educación para Adultos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249,900,008.0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02.03.05.06- Otros Servicios Educativos y Actividades Inherentes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3,100,520,743.0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02.03.06- Comunicaciones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43,122,665.0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02.03.06.09- Otros de Seguridad Social y Asistencia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43,122,665.0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02.04.01- Protección Ambiental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569,946,216.0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02.04.01.01- Ordenación de Desechos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54,932,496.0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02.04.01.03- Ordenación de Aguas Residuales, Drenaje y Alcantarillado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460,274,921.0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02.04.01.04- Reducción de la Contaminación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37,215,046.0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02.04.01.05- Protección a la Diversidad Biológica y del Paisaje</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17,523,753.0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02.04.02- Vivienda y Servicios a la Comunidad</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424,000,868.0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02.04.02.01- Urbanización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319,979,862.0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02.04.02.03- Abastecimiento de Agua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96,224,271.0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02.04.02.04- Alumbrado Público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7,796,735.0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02.06.06- Protección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2,188,072,380.0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02.06.06.02- Edad Avanzada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2,075,157,828.0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02.06.06.09- Otros de Seguridad Social y Asistencia Social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112,914,552.0 </w:t>
            </w:r>
          </w:p>
        </w:tc>
      </w:tr>
      <w:tr w:rsidR="006E1868" w:rsidRPr="001A33BF" w:rsidTr="000C3BC0">
        <w:trPr>
          <w:trHeight w:val="300"/>
        </w:trPr>
        <w:tc>
          <w:tcPr>
            <w:tcW w:w="3261" w:type="pct"/>
            <w:tcBorders>
              <w:top w:val="nil"/>
              <w:left w:val="nil"/>
              <w:bottom w:val="single" w:sz="4" w:space="0" w:color="95B3D7"/>
              <w:right w:val="nil"/>
            </w:tcBorders>
            <w:shd w:val="clear" w:color="000000" w:fill="FFFFFF"/>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 Desarrollo Económico</w:t>
            </w:r>
          </w:p>
        </w:tc>
        <w:tc>
          <w:tcPr>
            <w:tcW w:w="1739" w:type="pct"/>
            <w:tcBorders>
              <w:top w:val="nil"/>
              <w:left w:val="nil"/>
              <w:bottom w:val="nil"/>
              <w:right w:val="nil"/>
            </w:tcBorders>
            <w:shd w:val="clear" w:color="000000" w:fill="FFFFFF"/>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2,453,738,954.0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03.01.01- Asuntos Económicos, Comerciales y Laborales en General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563,812,975.0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03.01.01.01- Asuntos Económicos y Comerciales en General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504,363,135.0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03.01.01.02- Asuntos Laborales Generales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59,449,840.0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03.01.02- Agropecuaria, Silvicultura, Pesca y Caza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400,976,128.0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03.01.02.01- Agropecuaria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393,091,495.0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03.01.02.03- Acuacultura, Pesca y Caza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7,884,633.0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03.01.05- Transporte</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18,102,712.0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03.01.05.02- Transporte por Agua y Puertos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18,102,712.0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03.01.07- Turismo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503,674,911.0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03.01.07.01- Turismo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503,674,911.0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03.01.08- Ciencia, Tecnología e Innovación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95,183,934.0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03.01.08.01- Investigación Científica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35,326,088.0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03.01.08.03- Servicios Científicos y Tecnológicos</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47,835,689.0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03.01.08.04- Innovación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12,022,157.0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03.03.08- Ciencia, Tecnología e Innovación</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16,263,309.0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03.03.08.01- Investigación Científica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16,263,309.0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03.04.05- Transporte</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852,535,058.0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03.04.05.01- Transporte por Carretera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513,907,282.0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03.04.05.06- Otros relacionados con el Transporte</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338,627,776.0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03.06.01- Asuntos Económicos, Comerciales y Laborales en General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3,189,927.0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03.06.01.01- Asuntos Económicos y Comerciales en General</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3,189,927.0 </w:t>
            </w:r>
          </w:p>
        </w:tc>
      </w:tr>
      <w:tr w:rsidR="006E1868" w:rsidRPr="001A33BF" w:rsidTr="000C3BC0">
        <w:trPr>
          <w:trHeight w:val="300"/>
        </w:trPr>
        <w:tc>
          <w:tcPr>
            <w:tcW w:w="3261" w:type="pct"/>
            <w:tcBorders>
              <w:top w:val="nil"/>
              <w:left w:val="nil"/>
              <w:bottom w:val="single" w:sz="4" w:space="0" w:color="95B3D7"/>
              <w:right w:val="nil"/>
            </w:tcBorders>
            <w:shd w:val="clear" w:color="000000" w:fill="FFFFFF"/>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 Otras No Clasificadas en Funciones Anteriores</w:t>
            </w:r>
          </w:p>
        </w:tc>
        <w:tc>
          <w:tcPr>
            <w:tcW w:w="1739" w:type="pct"/>
            <w:tcBorders>
              <w:top w:val="nil"/>
              <w:left w:val="nil"/>
              <w:bottom w:val="nil"/>
              <w:right w:val="nil"/>
            </w:tcBorders>
            <w:shd w:val="clear" w:color="000000" w:fill="FFFFFF"/>
            <w:vAlign w:val="bottom"/>
            <w:hideMark/>
          </w:tcPr>
          <w:p w:rsidR="006E1868" w:rsidRPr="001A33BF" w:rsidRDefault="006E1868" w:rsidP="000C3BC0">
            <w:pPr>
              <w:ind w:firstLineChars="300" w:firstLine="6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7,217,938,247.0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04.01.02- Transferencias, Participaciones y Aportaciones entre Diferentes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3,611,849,987.0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04.01.02.02- Participaciones entre Diferentes Niveles y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3,611,849,987.0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04.02.02- Transferencias, Participaciones y Aportaciones entre Diferentes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3,055,779,000.0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04.02.02.03- Aportaciones entre Diferentes Niveles y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3,055,779,000.0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04.06.01- Transacciones de la Deuda Pública / Costo Financiero de la Deuda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550,309,260.0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04.06.01.01- Deuda Pública Interna</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550,309,260.0 </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04.06.02- Transferencias, Participaciones y Aportaciones entre Diferentes Niveles y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ind w:firstLineChars="1400" w:firstLine="28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0.0</w:t>
            </w:r>
          </w:p>
        </w:tc>
      </w:tr>
      <w:tr w:rsidR="006E1868" w:rsidRPr="001A33BF" w:rsidTr="000C3BC0">
        <w:trPr>
          <w:trHeight w:val="300"/>
        </w:trPr>
        <w:tc>
          <w:tcPr>
            <w:tcW w:w="3261" w:type="pct"/>
            <w:tcBorders>
              <w:top w:val="nil"/>
              <w:left w:val="nil"/>
              <w:bottom w:val="nil"/>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04.06.02.01- Tranferencias entre Diferentes Niveles y Órdenes de Gobierno</w:t>
            </w:r>
          </w:p>
        </w:tc>
        <w:tc>
          <w:tcPr>
            <w:tcW w:w="1739" w:type="pct"/>
            <w:tcBorders>
              <w:top w:val="nil"/>
              <w:left w:val="nil"/>
              <w:bottom w:val="nil"/>
              <w:right w:val="nil"/>
            </w:tcBorders>
            <w:shd w:val="clear" w:color="000000" w:fill="FFFFFF"/>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   </w:t>
            </w:r>
          </w:p>
        </w:tc>
      </w:tr>
      <w:tr w:rsidR="006E1868" w:rsidRPr="001A33BF" w:rsidTr="000C3BC0">
        <w:trPr>
          <w:trHeight w:val="315"/>
        </w:trPr>
        <w:tc>
          <w:tcPr>
            <w:tcW w:w="3261" w:type="pct"/>
            <w:tcBorders>
              <w:top w:val="single" w:sz="4" w:space="0" w:color="95B3D7"/>
              <w:left w:val="nil"/>
              <w:bottom w:val="nil"/>
              <w:right w:val="nil"/>
            </w:tcBorders>
            <w:shd w:val="clear" w:color="DCE6F1" w:fill="FFFFFF"/>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 general</w:t>
            </w:r>
          </w:p>
        </w:tc>
        <w:tc>
          <w:tcPr>
            <w:tcW w:w="1739" w:type="pct"/>
            <w:tcBorders>
              <w:top w:val="single" w:sz="4" w:space="0" w:color="366092"/>
              <w:left w:val="nil"/>
              <w:bottom w:val="single" w:sz="8" w:space="0" w:color="366092"/>
              <w:right w:val="nil"/>
            </w:tcBorders>
            <w:shd w:val="clear" w:color="000000" w:fill="FFFFFF"/>
            <w:noWrap/>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40,590,008,664.0 </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6782"/>
        <w:gridCol w:w="1353"/>
        <w:gridCol w:w="1909"/>
      </w:tblGrid>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2d CLASIFICACIÓN PROGRAMÁTICA POR TIPO DE PROGRAMA Y MONTO</w:t>
            </w:r>
          </w:p>
        </w:tc>
        <w:tc>
          <w:tcPr>
            <w:tcW w:w="710"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p>
        </w:tc>
        <w:tc>
          <w:tcPr>
            <w:tcW w:w="986" w:type="pct"/>
            <w:tcBorders>
              <w:top w:val="nil"/>
              <w:left w:val="nil"/>
              <w:bottom w:val="nil"/>
              <w:right w:val="nil"/>
            </w:tcBorders>
            <w:shd w:val="clear" w:color="auto" w:fill="auto"/>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1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630"/>
        </w:trPr>
        <w:tc>
          <w:tcPr>
            <w:tcW w:w="3303"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PROGRAMAS PRESUPUESTARIOS</w:t>
            </w:r>
          </w:p>
        </w:tc>
        <w:tc>
          <w:tcPr>
            <w:tcW w:w="710"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w:t>
            </w:r>
          </w:p>
        </w:tc>
        <w:tc>
          <w:tcPr>
            <w:tcW w:w="986"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ASIGNACION PRESUPUESTAL </w:t>
            </w:r>
          </w:p>
        </w:tc>
      </w:tr>
      <w:tr w:rsidR="006E1868" w:rsidRPr="001A33BF" w:rsidTr="000C3BC0">
        <w:trPr>
          <w:trHeight w:val="300"/>
        </w:trPr>
        <w:tc>
          <w:tcPr>
            <w:tcW w:w="3303"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 Subsidio Sector social y privado o entidades federativas y municipios</w:t>
            </w:r>
          </w:p>
        </w:tc>
        <w:tc>
          <w:tcPr>
            <w:tcW w:w="7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2,057,844,720.0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 Sujetos a Reglas de Operación</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S</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1,874,406,188.0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 Otros subsidios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U</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183,438,532.0 </w:t>
            </w:r>
          </w:p>
        </w:tc>
      </w:tr>
      <w:tr w:rsidR="006E1868" w:rsidRPr="001A33BF" w:rsidTr="000C3BC0">
        <w:trPr>
          <w:trHeight w:val="300"/>
        </w:trPr>
        <w:tc>
          <w:tcPr>
            <w:tcW w:w="3303"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 Desempeño de las funciones</w:t>
            </w:r>
          </w:p>
        </w:tc>
        <w:tc>
          <w:tcPr>
            <w:tcW w:w="7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23,684,092,900.0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10- Proyectos de Inversión</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K</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1,239,725,309.0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 Prestación de Servicios Públicos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E</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18,870,751,422.0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 Provisión de Bienes Públicos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B</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21,244,859.0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 Planeación, seguimiento y evaluación de políticas públicas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P</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218,019,531.0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 Promoción y Fomento</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F</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408,125,466.0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7- Regulación y supervisión</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G</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318,271,032.0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9- Específicos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R</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2,607,955,281.0 </w:t>
            </w:r>
          </w:p>
        </w:tc>
      </w:tr>
      <w:tr w:rsidR="006E1868" w:rsidRPr="001A33BF" w:rsidTr="000C3BC0">
        <w:trPr>
          <w:trHeight w:val="300"/>
        </w:trPr>
        <w:tc>
          <w:tcPr>
            <w:tcW w:w="3303"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 Administrativos y de Apoyo</w:t>
            </w:r>
          </w:p>
        </w:tc>
        <w:tc>
          <w:tcPr>
            <w:tcW w:w="7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6,988,950,626.0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11- Apoyo al proceso presupuestario y para mejorar la eficiencia institucional</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M</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6,610,112,883.0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12- Apoyo a la función pública y al mejoramiento de la gestión</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O</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378,837,743.0 </w:t>
            </w:r>
          </w:p>
        </w:tc>
      </w:tr>
      <w:tr w:rsidR="006E1868" w:rsidRPr="001A33BF" w:rsidTr="000C3BC0">
        <w:trPr>
          <w:trHeight w:val="300"/>
        </w:trPr>
        <w:tc>
          <w:tcPr>
            <w:tcW w:w="3303"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 Obligaciones</w:t>
            </w:r>
          </w:p>
        </w:tc>
        <w:tc>
          <w:tcPr>
            <w:tcW w:w="7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641,182,171.0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16- Pensiones y jubilaciones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J</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641,182,171.0 </w:t>
            </w:r>
          </w:p>
        </w:tc>
      </w:tr>
      <w:tr w:rsidR="006E1868" w:rsidRPr="001A33BF" w:rsidTr="000C3BC0">
        <w:trPr>
          <w:trHeight w:val="300"/>
        </w:trPr>
        <w:tc>
          <w:tcPr>
            <w:tcW w:w="3303"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 Programas de gasto Federalizado (gobierno federal)</w:t>
            </w:r>
          </w:p>
        </w:tc>
        <w:tc>
          <w:tcPr>
            <w:tcW w:w="7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7,217,938,247.0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20- Gasto Federalizado</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I</w:t>
            </w: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3,055,779,000.0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 Participaciones a entidades federativas y municipios</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3,611,849,987.0 </w:t>
            </w:r>
          </w:p>
        </w:tc>
      </w:tr>
      <w:tr w:rsidR="006E1868" w:rsidRPr="001A33BF" w:rsidTr="000C3BC0">
        <w:trPr>
          <w:trHeight w:val="300"/>
        </w:trPr>
        <w:tc>
          <w:tcPr>
            <w:tcW w:w="3303" w:type="pct"/>
            <w:tcBorders>
              <w:top w:val="nil"/>
              <w:left w:val="nil"/>
              <w:bottom w:val="nil"/>
              <w:right w:val="nil"/>
            </w:tcBorders>
            <w:shd w:val="clear" w:color="auto" w:fill="auto"/>
            <w:noWrap/>
            <w:vAlign w:val="bottom"/>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 Costo financiero, deuda o apoyos a deudores y ahorradores de la banca</w:t>
            </w:r>
          </w:p>
        </w:tc>
        <w:tc>
          <w:tcPr>
            <w:tcW w:w="710" w:type="pct"/>
            <w:tcBorders>
              <w:top w:val="nil"/>
              <w:left w:val="nil"/>
              <w:bottom w:val="nil"/>
              <w:right w:val="nil"/>
            </w:tcBorders>
            <w:shd w:val="clear" w:color="auto" w:fill="auto"/>
            <w:noWrap/>
            <w:vAlign w:val="center"/>
            <w:hideMark/>
          </w:tcPr>
          <w:p w:rsidR="006E1868" w:rsidRPr="001A33BF" w:rsidRDefault="006E1868" w:rsidP="000C3BC0">
            <w:pPr>
              <w:ind w:firstLineChars="100" w:firstLine="200"/>
              <w:rPr>
                <w:rFonts w:ascii="Barlow Medium" w:eastAsia="Times New Roman" w:hAnsi="Barlow Medium" w:cs="Times New Roman"/>
                <w:color w:val="000000"/>
                <w:sz w:val="20"/>
                <w:szCs w:val="20"/>
                <w:lang w:val="es-MX" w:eastAsia="es-MX"/>
              </w:rPr>
            </w:pPr>
          </w:p>
        </w:tc>
        <w:tc>
          <w:tcPr>
            <w:tcW w:w="986" w:type="pct"/>
            <w:tcBorders>
              <w:top w:val="nil"/>
              <w:left w:val="nil"/>
              <w:bottom w:val="nil"/>
              <w:right w:val="nil"/>
            </w:tcBorders>
            <w:shd w:val="clear" w:color="auto" w:fill="auto"/>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550,309,260.0 </w:t>
            </w:r>
          </w:p>
        </w:tc>
      </w:tr>
      <w:tr w:rsidR="006E1868" w:rsidRPr="001A33BF" w:rsidTr="000C3BC0">
        <w:trPr>
          <w:trHeight w:val="315"/>
        </w:trPr>
        <w:tc>
          <w:tcPr>
            <w:tcW w:w="3303"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71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w:t>
            </w:r>
          </w:p>
        </w:tc>
        <w:tc>
          <w:tcPr>
            <w:tcW w:w="986" w:type="pct"/>
            <w:tcBorders>
              <w:top w:val="single" w:sz="4" w:space="0" w:color="366092"/>
              <w:left w:val="nil"/>
              <w:bottom w:val="single" w:sz="8" w:space="0" w:color="366092"/>
              <w:right w:val="nil"/>
            </w:tcBorders>
            <w:shd w:val="clear" w:color="auto" w:fill="auto"/>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40,590,008,664.0 </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CellMar>
          <w:left w:w="70" w:type="dxa"/>
          <w:right w:w="70" w:type="dxa"/>
        </w:tblCellMar>
        <w:tblLook w:val="04A0"/>
      </w:tblPr>
      <w:tblGrid>
        <w:gridCol w:w="6370"/>
        <w:gridCol w:w="3674"/>
      </w:tblGrid>
      <w:tr w:rsidR="006E1868" w:rsidRPr="001A33BF" w:rsidTr="000C3BC0">
        <w:trPr>
          <w:trHeight w:val="300"/>
        </w:trPr>
        <w:tc>
          <w:tcPr>
            <w:tcW w:w="5000" w:type="pct"/>
            <w:gridSpan w:val="2"/>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ANEXO 2e CLASIFICACIÓN POR TIPO DE GASTO Y MONTO</w:t>
            </w:r>
          </w:p>
        </w:tc>
      </w:tr>
      <w:tr w:rsidR="006E1868" w:rsidRPr="001A33BF" w:rsidTr="000C3BC0">
        <w:trPr>
          <w:trHeight w:val="300"/>
        </w:trPr>
        <w:tc>
          <w:tcPr>
            <w:tcW w:w="3171"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82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3171"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TIPO DE GASTO</w:t>
            </w:r>
          </w:p>
        </w:tc>
        <w:tc>
          <w:tcPr>
            <w:tcW w:w="182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IMPORTE</w:t>
            </w:r>
          </w:p>
        </w:tc>
      </w:tr>
      <w:tr w:rsidR="006E1868" w:rsidRPr="001A33BF" w:rsidTr="000C3BC0">
        <w:trPr>
          <w:trHeight w:val="600"/>
        </w:trPr>
        <w:tc>
          <w:tcPr>
            <w:tcW w:w="3171"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Amortización de la Deuda y Disminución de Pasivos</w:t>
            </w:r>
          </w:p>
        </w:tc>
        <w:tc>
          <w:tcPr>
            <w:tcW w:w="1829" w:type="pct"/>
            <w:tcBorders>
              <w:top w:val="nil"/>
              <w:left w:val="nil"/>
              <w:bottom w:val="nil"/>
              <w:right w:val="nil"/>
            </w:tcBorders>
            <w:shd w:val="clear" w:color="000000" w:fill="F2F2F2"/>
            <w:noWrap/>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485,158,699.0 </w:t>
            </w:r>
          </w:p>
        </w:tc>
      </w:tr>
      <w:tr w:rsidR="006E1868" w:rsidRPr="001A33BF" w:rsidTr="000C3BC0">
        <w:trPr>
          <w:trHeight w:val="300"/>
        </w:trPr>
        <w:tc>
          <w:tcPr>
            <w:tcW w:w="3171"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Gasto Corriente</w:t>
            </w:r>
          </w:p>
        </w:tc>
        <w:tc>
          <w:tcPr>
            <w:tcW w:w="182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29,924,729,693.0 </w:t>
            </w:r>
          </w:p>
        </w:tc>
      </w:tr>
      <w:tr w:rsidR="006E1868" w:rsidRPr="001A33BF" w:rsidTr="000C3BC0">
        <w:trPr>
          <w:trHeight w:val="300"/>
        </w:trPr>
        <w:tc>
          <w:tcPr>
            <w:tcW w:w="3171"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Gasto de Capital</w:t>
            </w:r>
          </w:p>
        </w:tc>
        <w:tc>
          <w:tcPr>
            <w:tcW w:w="1829" w:type="pct"/>
            <w:tcBorders>
              <w:top w:val="nil"/>
              <w:left w:val="nil"/>
              <w:bottom w:val="nil"/>
              <w:right w:val="nil"/>
            </w:tcBorders>
            <w:shd w:val="clear" w:color="000000" w:fill="F2F2F2"/>
            <w:noWrap/>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2,321,301,114.0 </w:t>
            </w:r>
          </w:p>
        </w:tc>
      </w:tr>
      <w:tr w:rsidR="006E1868" w:rsidRPr="001A33BF" w:rsidTr="000C3BC0">
        <w:trPr>
          <w:trHeight w:val="300"/>
        </w:trPr>
        <w:tc>
          <w:tcPr>
            <w:tcW w:w="3171"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Participaciones y Aportaciones</w:t>
            </w:r>
          </w:p>
        </w:tc>
        <w:tc>
          <w:tcPr>
            <w:tcW w:w="182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6,667,628,987.0 </w:t>
            </w:r>
          </w:p>
        </w:tc>
      </w:tr>
      <w:tr w:rsidR="006E1868" w:rsidRPr="001A33BF" w:rsidTr="000C3BC0">
        <w:trPr>
          <w:trHeight w:val="300"/>
        </w:trPr>
        <w:tc>
          <w:tcPr>
            <w:tcW w:w="3171"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Pensiones y Jubilaciones</w:t>
            </w:r>
          </w:p>
        </w:tc>
        <w:tc>
          <w:tcPr>
            <w:tcW w:w="1829" w:type="pct"/>
            <w:tcBorders>
              <w:top w:val="nil"/>
              <w:left w:val="nil"/>
              <w:bottom w:val="nil"/>
              <w:right w:val="nil"/>
            </w:tcBorders>
            <w:shd w:val="clear" w:color="000000" w:fill="F2F2F2"/>
            <w:noWrap/>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1,191,190,171.0 </w:t>
            </w:r>
          </w:p>
        </w:tc>
      </w:tr>
      <w:tr w:rsidR="006E1868" w:rsidRPr="001A33BF" w:rsidTr="000C3BC0">
        <w:trPr>
          <w:trHeight w:val="315"/>
        </w:trPr>
        <w:tc>
          <w:tcPr>
            <w:tcW w:w="3171"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182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40,590,008,664.0 </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tbl>
      <w:tblPr>
        <w:tblW w:w="5000" w:type="pct"/>
        <w:tblLayout w:type="fixed"/>
        <w:tblCellMar>
          <w:left w:w="70" w:type="dxa"/>
          <w:right w:w="70" w:type="dxa"/>
        </w:tblCellMar>
        <w:tblLook w:val="04A0"/>
      </w:tblPr>
      <w:tblGrid>
        <w:gridCol w:w="8292"/>
        <w:gridCol w:w="1752"/>
      </w:tblGrid>
      <w:tr w:rsidR="006E1868" w:rsidRPr="001A33BF" w:rsidTr="000C3BC0">
        <w:trPr>
          <w:trHeight w:val="300"/>
        </w:trPr>
        <w:tc>
          <w:tcPr>
            <w:tcW w:w="5000" w:type="pct"/>
            <w:gridSpan w:val="2"/>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2f CLASIFICACIÓN POR OBJETO DEL GASTO POR CAPÍTULO, CONCEPTO, PARTIDA GÉNERICA E IMPORTE</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872" w:type="pct"/>
            <w:tcBorders>
              <w:top w:val="nil"/>
              <w:left w:val="nil"/>
              <w:bottom w:val="nil"/>
              <w:right w:val="nil"/>
            </w:tcBorders>
            <w:shd w:val="clear" w:color="auto" w:fill="auto"/>
            <w:noWrap/>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15"/>
        </w:trPr>
        <w:tc>
          <w:tcPr>
            <w:tcW w:w="4128" w:type="pct"/>
            <w:tcBorders>
              <w:top w:val="single" w:sz="4" w:space="0" w:color="000000"/>
              <w:left w:val="single" w:sz="4" w:space="0" w:color="000000"/>
              <w:bottom w:val="nil"/>
              <w:right w:val="nil"/>
            </w:tcBorders>
            <w:shd w:val="clear" w:color="000000" w:fill="16365C"/>
            <w:noWrap/>
            <w:vAlign w:val="center"/>
            <w:hideMark/>
          </w:tcPr>
          <w:p w:rsidR="006E1868" w:rsidRPr="001A33BF" w:rsidRDefault="006E1868" w:rsidP="000C3BC0">
            <w:pP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CAPÍTULO/ CONCEPTO/ PARTIDA GÉNERICA</w:t>
            </w:r>
          </w:p>
        </w:tc>
        <w:tc>
          <w:tcPr>
            <w:tcW w:w="872"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Times New Roman"/>
                <w:bCs/>
                <w:color w:val="FFFFFF"/>
                <w:sz w:val="20"/>
                <w:szCs w:val="20"/>
                <w:lang w:val="es-MX" w:eastAsia="es-MX"/>
              </w:rPr>
            </w:pPr>
            <w:r w:rsidRPr="001A33BF">
              <w:rPr>
                <w:rFonts w:ascii="Barlow Medium" w:eastAsia="Times New Roman" w:hAnsi="Barlow Medium" w:cs="Times New Roman"/>
                <w:bCs/>
                <w:color w:val="FFFFFF"/>
                <w:sz w:val="20"/>
                <w:szCs w:val="20"/>
                <w:lang w:val="es-MX" w:eastAsia="es-MX"/>
              </w:rPr>
              <w:t xml:space="preserve">IMPORTE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1000 - SERVICIOS PERSONALES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12,294,853,268.0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1100 - REMUNERACIONES AL PERSONAL DE CARÁCTER PERMANENTE</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6,365,702,240.0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1110 - DIETAS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1130 - SUELDOS BASE AL PERSONAL PERMANENTE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6,365,702,240.0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1200 - REMUNERACIONES AL PERSONAL DE CARÁCTER TRANSITORIO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827,333,244.0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1210 - HONORARIOS ASIMILABLES A SALARIOS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48,082,104.0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1220 - SUELDOS BASE AL PERSONAL EVENTUAL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779,195,640.0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1230 - RETRIBUCIONES POR SERVICIOS DE CARÁCTER SOCIAL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55,500.0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1300 - REMUNERACIONES ADICIONALES Y ESPECIALES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2,037,138,695.0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1310 - PRIMAS POR AÑOS DE SERVICIOS EFECTIVOS PRESTADOS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26,800,433.0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1320 - PRIMAS DE VACACIONES, DOMINICAL Y GRATIFICACIÓN DE FIN DE AÑO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1,279,367,920.0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1330 - HORAS EXTRAORDINARIAS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4,289,488.0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1340 - COMPENSACIONES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397,905,988.0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1370 - HONORARIOS ESPECIALES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15,785,016.0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1380 - PARTICIPACIONES POR VIGILANCIA EN EL CUMPLIMIENTO DE LAS LEYES Y CUSTODIA DE VALORES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312,989,850.0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1400 - SEGURIDAD SOCIAL</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966,890,380.0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1410 - APORTACIONES DE SEGURIDAD SOCIAL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826,850,954.0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1440 - APORTACIONES PARA SEGUROS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140,039,426.0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1500 - OTRAS PRESTACIONES SOCIALES Y ECONÓMICAS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811,800,445.0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1510 - CUOTAS PARA EL FONDO DE AHORRO Y FONDO DE TRABAJO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125,854,584.0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1520 - INDEMNIZACIONES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5,408,556.0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1540 - PRESTACIONES CONTRACTUALES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184,733,687.0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1590 - OTRAS PRESTACIONES SOCIALES Y ECONÓMICAS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495,803,618.0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1600 - PREVISIONES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325,191,839.0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1610 - PREVISIONES DE CARÁCTER LABORAL, ECONÓMICA Y DE SEGURIDAD SOCIAL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325,191,839.0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1700 - PAGO DE ESTÍMULOS A SERVIDORES PÚBLICOS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960,796,425.0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1710 - ESTÍMULOS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960,796,425.0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2000 - MATERIALES Y SUMINISTROS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749,467,032.0 </w:t>
            </w:r>
          </w:p>
        </w:tc>
      </w:tr>
      <w:tr w:rsidR="006E1868" w:rsidRPr="001A33BF" w:rsidTr="000C3BC0">
        <w:trPr>
          <w:trHeight w:val="6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2100 - MATERIALES DE ADMINISTRACIÓN, EMISIÓN DE DOCUMENTOS Y ARTÍCULOS OFICIALES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90,100,145.0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2110 - MATERIALES, ÚTILES Y EQUIPOS MENORES DE OFICINA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27,053,709.0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2120 - MATERIALES Y ÚTILES DE IMPRESIÓN Y REPRODUCCIÓN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2,160,958.0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2130 - MATERIAL ESTADÍSTICO Y GEOGRÁFICO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237,200.0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2140 - MATERIALES, ÚTILES Y EQUIPOS MENORES DE TECNOLOGÍAS DE LA INFORMACIÓN Y COMUNICACIONES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20,746,140.0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2150 - MATERIAL IMPRESO E INFORMACIÓN DIGITAL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1,413,269.0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2160 - MATERIAL DE LIMPIEZA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13,472,212.0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2170 - MATERIALES Y ÚTILES DE ENSEÑANZA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16,155,657.0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2180 - MATERIALES PARA EL REGISTRO E IDENTIFICACIÓN DE BIENES Y PERSONAS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8,861,000.0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2200 - ALIMENTOS Y UTENSILIOS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149,397,888.0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2210 - PRODUCTOS ALIMENTICIOS PARA PERSONAS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147,791,123.0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2220 - PRODUCTOS ALIMENTICIOS PARA ANIMALES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245,886.0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2230 - UTENSILIOS PARA EL SERVICIO DE ALIMENTACIÓN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1,360,879.0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2300 - MATERIAS PRIMAS Y MATERIALES DE PRODUCCIÓN Y COMERCIALIZACIÓN</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87,000.0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2310 - PRODUCTOS ALIMENTICIOS, AGROPECUARIOS Y FORESTALES ADQUIRIDOS COMO MATERIA PRIMA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2320 - INSUMOS TEXTILES ADQUIRIDOS COMO MATERIA PRIMA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2340 - COMBUSTIBLES, LUBRICANTES, ADITIVOS, CARBÓN Y SUS DERIVADOS ADQUIRIDOS COMO MATERIA PRIMA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2350 - PRODUCTOS QUÍMICOS, FARMACÉUTICOS Y DE LABORATORIO ADQUIRIDOS COMO MATERIA PRIMA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2380 - MERCANCÍAS ADQUIRIDAS PARA SU COMERCIALIZACIÓN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2400 - MATERIALES Y ARTÍCULOS DE CONSTRUCCIÓN Y DE REPARACIÓN</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31,692,113.0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2410 - PRODUCTOS MINERALES NO METÁLICOS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425,880.0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2420 - CEMENTO Y PRODUCTOS DE CONCRETO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555,229.0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2430 - CAL, YESO Y PRODUCTOS DE YESO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166,195.0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2440 - MADERA Y PRODUCTOS DE MADERA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294,966.0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2450 - VIDRIO Y PRODUCTOS DE VIDRIO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539,362.0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2460 - MATERIAL ELÉCTRICO Y ELECTRÓNICO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6,964,995.0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2470 - ARTÍCULOS METÁLICOS PARA LA CONSTRUCCIÓN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4,607,776.0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2480 - MATERIALES COMPLEMENTARIOS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2,914,866.0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2490 - OTROS MATERIALES Y ARTÍCULOS DE CONSTRUCCIÓN Y REPARACIÓN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15,222,844.0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2500 - PRODUCTOS QUÍMICOS, FARMACÉUTICOS Y DE LABORATORIO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11,305,145.0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2510 - PRODUCTOS QUÍMICOS BÁSICOS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2,876,243.0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2520 - FERTILIZANTES, PESTICIDAS Y OTROS AGROQUÍMICOS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305,897.0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2530 - MEDICINAS Y PRODUCTOS FARMACÉUTICOS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4,415,301.0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2540 - MATERIALES, ACCESORIOS Y SUMINISTROS MÉDICOS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2,133,568.0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2550 - MATERIALES, ACCESORIOS Y SUMINISTROS DE LABORATORIO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1,546,047.0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2560 - FIBRAS SINTÉTICAS, HULES, PLÁSTICOS Y DERIVADOS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6,160.0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2590 - OTROS PRODUCTOS QUÍMICOS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21,929.0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2600 - COMBUSTIBLES, LUBRICANTES Y ADITIVOS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310,288,925.0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2610 - COMBUSTIBLES, LUBRICANTES Y ADITIVOS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310,288,925.0 </w:t>
            </w:r>
          </w:p>
        </w:tc>
      </w:tr>
      <w:tr w:rsidR="006E1868" w:rsidRPr="001A33BF" w:rsidTr="000C3BC0">
        <w:trPr>
          <w:trHeight w:val="6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2700 - VESTUARIO, BLANCOS, PRENDAS DE PROTECCIÓN Y ARTÍCULOS DEPORTIVOS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58,747,704.0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2710 - VESTUARIO Y UNIFORMES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53,787,324.0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2720 - PRENDAS DE SEGURIDAD Y PROTECCIÓN PERSONAL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1,566,087.0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2730 - ARTÍCULOS DEPORTIVOS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1,780,350.0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2740 - PRODUCTOS TEXTILES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463,095.0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2750 - BLANCOS Y OTROS PRODUCTOS TEXTILES, EXCEPTO PRENDAS DE VESTIR</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1,150,848.0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2800 - MATERIALES Y SUMINISTROS PARA SEGURIDAD</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7,991,000.0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2820 - MATERIALES DE SEGURIDAD PÚBLICA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356,000.0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2830 - PRENDAS DE PROTECCIÓN PARA SEGURIDAD PÚBLICA Y NACIONAL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7,635,000.0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2900 - HERRAMIENTAS, REFACCIONES Y ACCESORIOS MENORES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89,857,112.0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2910 - HERRAMIENTAS MENORES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3,401,244.0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2920 - REFACCIONES Y ACCESORIOS MENORES DE EDIFICIOS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2,302,213.0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2930 - REFACCIONES Y ACCESORIOS MENORES DE MOBILIARIO Y EQUIPO DE ADMINISTRACIÓN, EDUCACIONAL Y RECREATIVO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3,517,922.0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2940 - REFACCIONES Y ACCESORIOS MENORES DE EQUIPO DE CÓMPUTO Y TECNOLOGÍAS DE LA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8,376,376.0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2950 - REFACCIONES Y ACCESORIOS MENORES DE EQUIPO E INSTRUMENTAL MÉDICO Y DE LABORATORIO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468,056.0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2960 - REFACCIONES Y ACCESORIOS MENORES DE EQUIPO DE TRANSPORTE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63,330,183.0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2980 - REFACCIONES Y ACCESORIOS MENORES DE MAQUINARIA Y OTROS EQUIPOS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1,942,986.0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2990 - REFACCIONES Y ACCESORIOS MENORES OTROS BIENES MUEBLES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6,518,132.0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3000 - SERVICIOS GENERALES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2,036,050,318.0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3100 - SERVICIOS BÁSICOS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180,395,752.0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3110 - ENERGÍA ELÉCTRICA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124,102,639.0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3120 - GAS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438,289.0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3130 - AGUA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3,776,335.0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3140 - TELEFONÍA TRADICIONAL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20,248,238.0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3150 - TELEFONÍA CELULAR</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4,268,564.0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3160 - SERVICIOS DE TELECOMUNICACIONES Y SATÉLITES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23,510,392.0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3170 - SERVICIOS DE ACCESO DE INTERNET, REDES Y PROCESAMIENTO DE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1,878,709.0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3180 - SERVICIOS POSTALES Y TELEGRÁFICOS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912,428.0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3190 - SERVICIOS INTEGRALES Y OTROS SERVICIOS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1,260,158.0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3200 - SERVICIOS DE ARRENDAMIENTO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500,743,644.0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3220 - ARRENDAMIENTO DE EDIFICIOS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37,097,479.0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3230 - ARRENDAMIENTO DE MOBILIARIO Y EQUIPO DE ADMINISTRACIÓN, EDUCACIONAL Y RECREATIVO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36,249,054.0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3240 - ARRENDAMIENTO DE EQUIPO E INSTRUMENTAL MÉDICO Y DE LABORATORIO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3250 - ARRENDAMIENTO DE EQUIPO DE TRANSPORTE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w:t>
            </w:r>
            <w:r w:rsidRPr="001A33BF">
              <w:rPr>
                <w:rFonts w:ascii="Barlow Medium" w:eastAsia="Times New Roman" w:hAnsi="Barlow Medium" w:cs="Times New Roman"/>
                <w:color w:val="000000"/>
                <w:sz w:val="20"/>
                <w:szCs w:val="20"/>
                <w:lang w:val="es-MX" w:eastAsia="es-MX"/>
              </w:rPr>
              <w:lastRenderedPageBreak/>
              <w:t xml:space="preserve">138,367,299.0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3260 - ARRENDAMIENTO DE MAQUINARIA, OTROS EQUIPOS Y HERRAMIENTAS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1,165,053.0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3270 - ARRENDAMIENTO DE ACTIVOS INTANGIBLES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12,635,245.0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3290 - OTROS ARRENDAMIENTOS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275,229,514.0 </w:t>
            </w:r>
          </w:p>
        </w:tc>
      </w:tr>
      <w:tr w:rsidR="006E1868" w:rsidRPr="001A33BF" w:rsidTr="000C3BC0">
        <w:trPr>
          <w:trHeight w:val="6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3300 - SERVICIOS PROFESIONALES, CIENTÍFICOS, TÉCNICOS Y OTROS SERVICIOS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345,163,250.0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3310 - SERVICIOS LEGALES, DE CONTABILIDAD, AUDITORÍA Y RELACIONADOS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55,306,317.0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3320 - SERVICIOS DE DISEÑO, ARQUITECTURA, INGENIERÍA Y ACTIVIDADES RELACIONADAS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557,028.0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3330 - SERVICIOS DE CONSULTORÍA ADMINISTRATIVA, PROCESOS, TÉCNICA Y EN TECNOLOGÍAS DE LA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86,875,432.0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3340 - SERVICIOS DE CAPACITACIÓN A SERVIDORES PÚBLICOS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50,280,098.0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3350 - SERVICIOS DE INVESTIGACIÓN CIENTÍFICA Y DESARROLLO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14,723,146.0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3360 - SERVICIOS DE APOYO ADMINISTRATIVO, FOTOCOPIADO E IMPRESIÓN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99,135,268.0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3370 - SERVICIOS DE PROTECCIÓN Y SEGURIDAD</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3380 - SERVICIOS DE VIGILANCIA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9,442,808.0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3390 - SERVICIOS PROFESIONALES, CIENTÍFICOS Y TÉCNICOS INTEGRALES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28,843,153.0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3400 - SERVICIOS FINANCIEROS, BANCARIOS Y COMERCIALES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113,861,941.0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3410 - SERVICIOS FINANCIEROS Y BANCARIOS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69,016,808.0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3430 - SERVICIOS DE RECAUDACIÓN, TRASLADO Y CUSTODIA DE VALORES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3440 - SEGUROS DE RESPONSABILIDAD PATRIMONIAL Y FINANZAS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3450 - SEGURO DE BIENES PATRIMONIALES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38,602,157.0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3460 - ALMACENAJE, ENVASE Y EMBALAJE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253,980.0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3470 - FLETES Y MANIOBRAS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2,285,196.0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3480 - COMISIONES POR VENTAS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3,660,000.0 </w:t>
            </w:r>
          </w:p>
        </w:tc>
      </w:tr>
      <w:tr w:rsidR="006E1868" w:rsidRPr="001A33BF" w:rsidTr="000C3BC0">
        <w:trPr>
          <w:trHeight w:val="6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3500 - SERVICIOS DE INSTALACIÓN, REPARACIÓN, MANTENIMIENTO Y CONSERVACIÓN</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421,128,475.0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3510 - CONSERVACIÓN Y MANTENIMIENTO MENOR DE INMUEBLES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100,715,452.0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3520 - INSTALACIÓN, REPARACIÓN Y MANTENIMIENTO DE MOBILIARIO Y EQUIPO DE ADMINISTRACIÓN, EDUCACIONAL Y RECREATIVO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14,164,470.0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3530 - INSTALACIÓN, REPARACIÓN Y MANTENIMIENTO DE EQUIPO DE CÓMPUTO Y </w:t>
            </w:r>
            <w:r w:rsidRPr="001A33BF">
              <w:rPr>
                <w:rFonts w:ascii="Barlow Medium" w:eastAsia="Times New Roman" w:hAnsi="Barlow Medium" w:cs="Times New Roman"/>
                <w:color w:val="000000"/>
                <w:sz w:val="20"/>
                <w:szCs w:val="20"/>
                <w:lang w:val="es-MX" w:eastAsia="es-MX"/>
              </w:rPr>
              <w:lastRenderedPageBreak/>
              <w:t>TECNOLOGÍAS DE LA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 xml:space="preserve">                     </w:t>
            </w:r>
            <w:r w:rsidRPr="001A33BF">
              <w:rPr>
                <w:rFonts w:ascii="Barlow Medium" w:eastAsia="Times New Roman" w:hAnsi="Barlow Medium" w:cs="Times New Roman"/>
                <w:color w:val="000000"/>
                <w:sz w:val="20"/>
                <w:szCs w:val="20"/>
                <w:lang w:val="es-MX" w:eastAsia="es-MX"/>
              </w:rPr>
              <w:lastRenderedPageBreak/>
              <w:t xml:space="preserve">39,283,369.0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3540 - INSTALACIÓN, REPARACIÓN Y MANTENIMIENTO DE EQUIPO E INSTRUMENTAL MÉDICO Y DE LABORATORIO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25,440.0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3550 - REPARACIÓN Y MANTENIMIENTO DE EQUIPO DE TRANSPORTE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209,159,418.0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3560 - REPARACIÓN Y MANTENIMIENTO DE EQUIPO DE DEFENSA Y SEGURIDAD</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12,801,885.0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3570 - INSTALACIÓN, REPARACIÓN Y MANTENIMIENTO DE MAQUINARIA, OTROS EQUIPOS Y HERRAMIENTA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25,860,527.0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3580 - SERVICIOS DE LIMPIEZA Y MANEJO DE DESECHOS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13,054,561.0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3590 - SERVICIOS DE JARDINERÍA Y FUMIGACIÓN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6,063,353.0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3600 - SERVICIOS DE COMUNICACIÓN SOCIAL Y PUBLICIDAD</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104,367,482.0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3610 - DIFUSIÓN POR RADIO, TELEVISIÓN Y OTROS MEDIOS DE MENSAJES SOBRE PROGRAMAS Y ACTIVIDADES GUBERNAMENTALES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86,373,557.0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3620 - DIFUSIÓN POR RADIO, TELEVISIÓN Y OTROS MEDIOS DE MENSAJES COMERCIALES PARA PROMOVER LA VENTA DE BIENES O SERVICIOS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16,728,022.0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3640 - SERVICIOS DE REVELADO DE FOTOGRAFÍAS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3690 - OTROS SERVICIOS DE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1,265,903.0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3700 - SERVICIOS DE TRASLADO Y VIÁTICOS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28,995,662.0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3710 - PASAJES AÉREOS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9,471,756.0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3720 - PASAJES TERRESTRES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1,138,852.0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3730 - PASAJES MARÍTIMOS, LACUSTRES Y FLUVIALES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3750 - VIÁTICOS EN EL PAÍS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13,047,119.0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3760 - VIÁTICOS EN EL EXTRANJERO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3,259,494.0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3780 - SERVICIOS INTEGRALES DE TRASLADO Y VIÁTICOS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158,473.0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3790 - OTROS SERVICIOS DE TRASLADO Y HOSPEDAJE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1,896,968.0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3800 - SERVICIOS OFICIALES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194,571,055.0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3810 - GASTOS DE CEREMONIAL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32,233,665.0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3820 - GASTOS DE ORDEN SOCIAL Y CULTURAL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150,152,209.0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3830 - CONGRESOS Y CONVENCIONES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9,494,455.0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3840 - EXPOSICIONES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2,674,165.0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3850 - GASTOS DE REPRESENTACIÓN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16,561.0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3900 - OTROS SERVICIOS GENERALES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146,823,057.0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3910 - SERVICIOS FUNERARIOS Y DE CEMENTERIOS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3920 - IMPUESTOS Y DERECHOS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18,477,378.0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3930 - IMPUESTOS Y DERECHOS DE IMPORTACIÓN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3950 - PENAS, MULTAS, ACCESORIOS Y ACTUALIZACIONES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55,968.0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3960 - OTROS GASTOS POR RESPONSABILIDADES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3980 - IMPUESTOS SOBRE NÓMINAS Y OTROS QUE SE DERIVEN DE UNA RELACIÓN LABORAL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126,604,691.0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3990 - OTROS SERVICIOS GENERALES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1,660,000.0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4000 - TRANSFERENCIAS, ASIGNACIONES, SUBSIDIOS Y OTRAS AYUDAS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17,629,424,872.0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4100 - TRANSFERENCIAS INTERNAS Y ASIGNACIONES AL SECTOR PÚBLICO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13,906,890,428.0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4110 - ASIGNACIONES PRESUPUESTARIAS AL PODER EJECUTIVO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264,845,898.0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4150 - TRANSFERENCIAS INTERNAS OTORGADAS A ENTIDADES PARAESTATALES NO EMPRESARIALES Y NO FINANCIERAS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10,132,200,072.0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4160 - TRANSFERENCIAS INTERNAS OTORGADAS A ENTIDADES PARAESTATALES EMPRESARIALES Y NO FINANCIERAS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107,377,497.0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4140 - ASIGNACIONES PRESUPUESTARIAS A ÓRGANOS AUTÓNOMOS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2,668,115,717.0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4130 - ASIGNACIONES PRESUPUESTARIAS AL PODER JUDICIAL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525,121,077.0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4120 - ASIGNACIONES PRESUPUESTARIAS AL PODER LEGISLATIVO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209,230,167.0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4200 - TRANSFERENCIAS AL RESTO DEL SECTOR PÚBLICO  </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6,090,000.0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4210 - TRANSFERENCIAS OTORGADAS A ORGANISMOS ENTIDADES PARAESTATALES NO EMPRESARIALES Y NO FINANCIERAS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6,090,000.0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4300 - SUBSIDIOS Y SUBVENCIONES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1,449,483,635.0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4310 - SUBSIDIOS A LA PRODUCCIÓN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353,249,743.0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4330 - SUBSIDIOS A LA INVERSIÓN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344,924,182.0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4340 - SUBSIDIOS A LA PRESTACIÓN DE SERVICIOS PÚBLICOS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459,105,972.0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4360 - SUBSIDIOS A LA VIVIENDA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23,000,000.0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4380 - SUBSIDIOS A ENTIDADES FEDERATIVAS Y MUNICIPIOS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4390 - OTROS SUBSIDIOS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269,203,738.0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4400 - AYUDAS SOCIALES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448,407,225.0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4410 - AYUDAS SOCIALES A PERSONAS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314,002,673.0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4420 - BECAS Y OTRAS AYUDAS PARA PROGRAMAS DE CAPACITACIÓN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11,077,103.0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4440 - AYUDAS SOCIALES A ACTIVIDADES CIENTÍFICAS O ACADÉMICAS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7,440,000.0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4450 - AYUDAS SOCIALES A INSTITUCIONES SIN FINES DE LUCRO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43,122,868.0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4470 - AYUDAS SOCIALES A ENTIDADES DE INTERÉS PÚBLICO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70,764,581.0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4480 - AYUDAS POR DESASTRES NATURALES Y OTROS SINIESTROS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2,000,000.0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4500 - PENSIONES Y JUBILACIONES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1,195,700,171.0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4510 - PENSIONES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287,567,704.0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4520 - JUBILACIONES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903,527,652.0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4590 - OTRAS PENSIONES Y JUBILACIONES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4,604,815.0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4600 - TRANSFERENCIAS A FIDEICOMISOS, MANDATOS Y OTROS ANÁLOGOS   </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11,166,961.0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4610 - TRANSFERENCIAS A FIDEICOMISOS DEL PODER EJECUTIVO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9,350,000.0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4640 - TRANSFERENCIAS A FIDEICOMISOS PÚBLICOS DE ENTIDADES PARAESTATALES NO EMPRESARIALES Y NO FINANCIERAS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1,816,961.0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4700 - TRANSFERENCIAS A LA SEGURIDAD SOCIAL</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558,790,000.0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4710 - TRANSFERENCIAS POR OBLIGACIÓN DE LEY</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558,790,000.0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4800 - DONATIVOS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52,896,452.0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4810 - DONATIVOS A INSTITUCIONES SIN FINES DE LUCRO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52,896,452.0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5000 - BIENES MUEBLES, INMUEBLES E INTANGIBLES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111,671,594.0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5100 - MOBILIARIO Y EQUIPO DE ADMINISTRACIÓN</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27,284,464.0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5110 - MUEBLES DE OFICINA Y ESTANTERÍA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1,900,451.0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5120 - MUEBLES, EXCEPTO DE OFICINA Y ESTANTERÍA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5130 - BIENES ARTÍSTICOS, CULTURALES Y CIENTÍFICOS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92,000.0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5150 - EQUIPO DE CÓMPUTO Y DE TECNOLOGÍA DE LA INFORMACIÓN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22,727,007.0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5190 - OTROS MOBILIARIOS Y EQUIPOS DE ADMINISTRACIÓN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2,405,006.0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5200 - MOBILIARIO Y EQUIPO EDUCACIONAL Y RECREATIVO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16,876,700.0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5210 - EQUIPOS Y APARATOS AUDIOVISUALES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1,419,250.0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5230 - CÁMARAS FOTOGRÁFICAS Y DE VIDEO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622,000.0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5290 - OTRO MOBILIARIO Y EQUIPO EDUCACIONAL Y RECREATIVO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14,835,450.0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lastRenderedPageBreak/>
              <w:t>5300 - EQUIPO E INSTRUMENTAL MÉDICO Y DE LABORATORIO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223,189.0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5310 - EQUIPO MÉDICO Y DE LABORATORIO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223,189.0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5400 - VEHÍCULOS Y EQUIPO DE TRANSPORTE</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11,858,417.0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5410 - VEHÍCULOS Y EQUIPO TERRESTRE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11,858,417.0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5500 - EQUIPO DE DEFENSA Y SEGURIDAD</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1,910,000.0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5510 - EQUIPO DE DEFENSA Y SEGURIDAD</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1,910,000.0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5600 - MAQUINARIA, OTROS EQUIPOS Y HERRAMIENTAS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33,383,830.0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5610 - MAQUINARIA Y EQUIPO AGROPECUARIO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5620 - MAQUINARIA Y EQUIPO INDUSTRIAL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5650 - EQUIPO DE COMUNICACIÓN Y TELECOMUNICACIÓN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27,043,626.0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5670 - HERRAMIENTAS Y MÁQUINAS-HERRAMIENTA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58,000.0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5690 - OTROS EQUIPOS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6,252,204.0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5900 - ACTIVOS INTANGIBLES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20,134,994.0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5910 - SOFTWARE</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5,174,763.0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5920 - PATENTES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5970 - LICENCIAS INFORMÁTICAS E INTELECTUALES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13,815,023.0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5990 - OTROS ACTIVOS INTANGIBLES  </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845,208.0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6000 - INVERSIÓN PÚBLICA</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565,636,390.0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6100 - OBRA PÚBLICA EN BIENES DE DOMINIO PÚBLICO</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153,706,856.0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6110 - EDIFICACIÓN HABITACIONAL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16,476,727.0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6120 - EDIFICACIÓN NO HABITACIONAL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67,105,129.0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6160 - OTRAS CONSTRUCCIONES DE INGENIERÍA CIVIL U OBRA PESADA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56,000,000.0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6190 - TRABAJOS DE ACABADOS EN EDIFICACIONES Y OTROS TRABAJOS ESPECIALIZADOS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14,125,000.0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6200 - OBRA PÚBLICA EN BIENES PROPIOS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411,929,534.0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6220 - EDIFICACIÓN NO HABITACIONAL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406,108,654.0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6270 - INSTALACIONES Y EQUIPAMIENTO EN CONSTRUCCIONES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5,820,880.0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7000 - INVERSIONES FINANCIERAS Y OTRAS PROVISIONES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50,117,504.0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7100 - INVERSIONES PARA EL FOMENTO DE ACTIVIDADES PRODUCTIVAS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w:t>
            </w:r>
            <w:r w:rsidRPr="001A33BF">
              <w:rPr>
                <w:rFonts w:ascii="Barlow Medium" w:eastAsia="Times New Roman" w:hAnsi="Barlow Medium" w:cs="Times New Roman"/>
                <w:bCs/>
                <w:color w:val="000000"/>
                <w:sz w:val="20"/>
                <w:szCs w:val="20"/>
                <w:lang w:val="es-MX" w:eastAsia="es-MX"/>
              </w:rPr>
              <w:lastRenderedPageBreak/>
              <w:t xml:space="preserve">23,900,000.0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7110 - CRÉDITOS OTORGADOS POR ENTIDADES FEDERATIVAS Y MUNICIPIOS AL SECTOR SOCIAL Y PRIVADO PARA EL FOMENTO DE ACTIVIDADES PRODUCTIVAS.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23,900,000.0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7200 - ACCIONES Y PARTICIPACIONES DE CAPITAL</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1,949,608.0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7220 - ACCIONES Y PARTICIPACIONES DE CAPITAL EN ENTIDADES PARAESTATALES EMPRESARIALES Y NO FINANCIERAS CON FINES DE POLÍTICA ECONÓMICA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1,949,608.0 </w:t>
            </w:r>
          </w:p>
        </w:tc>
      </w:tr>
      <w:tr w:rsidR="006E1868" w:rsidRPr="001A33BF" w:rsidTr="000C3BC0">
        <w:trPr>
          <w:trHeight w:val="6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7900 - PROVISIONES PARA CONTINGENCIAS Y OTRAS EROGACIONES ESPECIALES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24,267,896.0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7910 - CONTINGENCIAS POR FENÓMENOS NATURALES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24,267,896.0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8000 - PARTICIPACIONES Y APORTACIONES</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6,667,628,987.0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8100 - PARTICIPACIONES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3,384,160,724.0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8110 - FONDO GENERAL DE PARTICIPACIONES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2,150,686,017.0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8120 - FONDO DE FOMENTO MUNICIPAL</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953,894,945.0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8130 - PARTICIPACIONES DE LAS ENTIDADES FEDERATIVAS A LOS MUNICIPIOS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205,026,540.0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8150 - OTROS CONCEPTOS PARTICIPABLES DE LA FEDERACIÓN A MUNICIPIOS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74,553,222.0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8300 - APORTACIONES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3,055,779,000.0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8320 - APORTACIONES DE LA FEDERACIÓN A MUNICIPIOS</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3,055,779,000.0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8500 - CONVENIOS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227,689,263.0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8510 - CONVENIOS DE REASIGNACIÓN</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227,689,263.0 </w:t>
            </w:r>
          </w:p>
        </w:tc>
      </w:tr>
      <w:tr w:rsidR="006E1868" w:rsidRPr="001A33BF" w:rsidTr="000C3BC0">
        <w:trPr>
          <w:trHeight w:val="300"/>
        </w:trPr>
        <w:tc>
          <w:tcPr>
            <w:tcW w:w="4128" w:type="pct"/>
            <w:tcBorders>
              <w:top w:val="nil"/>
              <w:left w:val="nil"/>
              <w:bottom w:val="nil"/>
              <w:right w:val="nil"/>
            </w:tcBorders>
            <w:shd w:val="clear" w:color="000000" w:fill="C5C5C5"/>
            <w:vAlign w:val="bottom"/>
            <w:hideMark/>
          </w:tcPr>
          <w:p w:rsidR="006E1868" w:rsidRPr="001A33BF" w:rsidRDefault="006E1868" w:rsidP="000C3BC0">
            <w:pPr>
              <w:ind w:firstLineChars="100" w:firstLine="2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9000 - DEUDA PÚBLICA</w:t>
            </w:r>
          </w:p>
        </w:tc>
        <w:tc>
          <w:tcPr>
            <w:tcW w:w="872" w:type="pct"/>
            <w:tcBorders>
              <w:top w:val="nil"/>
              <w:left w:val="nil"/>
              <w:bottom w:val="nil"/>
              <w:right w:val="nil"/>
            </w:tcBorders>
            <w:shd w:val="clear" w:color="000000" w:fill="C5C5C5"/>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485,158,699.0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9100 - AMORTIZACIÓN DE LA DEUDA PÚBLICA</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120,183,389.0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9110 - AMORTIZACIÓN DE LA DEUDA INTERNA CON INSTITUCIONES DE CRÉDITO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120,183,389.0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9200 - INTERESES DE LA DEUDA PÚBLICA</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350,843,402.0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9210 - INTERESES DE LA DEUDA INTERNA CON INSTITUCIONES DE CRÉDITO</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350,843,402.0 </w:t>
            </w:r>
          </w:p>
        </w:tc>
      </w:tr>
      <w:tr w:rsidR="006E1868" w:rsidRPr="001A33BF" w:rsidTr="000C3BC0">
        <w:trPr>
          <w:trHeight w:val="300"/>
        </w:trPr>
        <w:tc>
          <w:tcPr>
            <w:tcW w:w="4128" w:type="pct"/>
            <w:tcBorders>
              <w:top w:val="nil"/>
              <w:left w:val="nil"/>
              <w:bottom w:val="nil"/>
              <w:right w:val="nil"/>
            </w:tcBorders>
            <w:shd w:val="clear" w:color="000000" w:fill="F2F2F2"/>
            <w:vAlign w:val="bottom"/>
            <w:hideMark/>
          </w:tcPr>
          <w:p w:rsidR="006E1868" w:rsidRPr="001A33BF" w:rsidRDefault="006E1868" w:rsidP="000C3BC0">
            <w:pPr>
              <w:ind w:firstLineChars="200" w:firstLine="400"/>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9500 - COSTO POR COBERTURAS</w:t>
            </w:r>
          </w:p>
        </w:tc>
        <w:tc>
          <w:tcPr>
            <w:tcW w:w="872" w:type="pct"/>
            <w:tcBorders>
              <w:top w:val="nil"/>
              <w:left w:val="nil"/>
              <w:bottom w:val="nil"/>
              <w:right w:val="nil"/>
            </w:tcBorders>
            <w:shd w:val="clear" w:color="000000" w:fill="F2F2F2"/>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14,131,908.0 </w:t>
            </w:r>
          </w:p>
        </w:tc>
      </w:tr>
      <w:tr w:rsidR="006E1868" w:rsidRPr="001A33BF" w:rsidTr="000C3BC0">
        <w:trPr>
          <w:trHeight w:val="300"/>
        </w:trPr>
        <w:tc>
          <w:tcPr>
            <w:tcW w:w="4128" w:type="pct"/>
            <w:tcBorders>
              <w:top w:val="nil"/>
              <w:left w:val="nil"/>
              <w:bottom w:val="nil"/>
              <w:right w:val="nil"/>
            </w:tcBorders>
            <w:shd w:val="clear" w:color="auto" w:fill="auto"/>
            <w:noWrap/>
            <w:vAlign w:val="bottom"/>
            <w:hideMark/>
          </w:tcPr>
          <w:p w:rsidR="006E1868" w:rsidRPr="001A33BF" w:rsidRDefault="006E1868" w:rsidP="000C3BC0">
            <w:pPr>
              <w:ind w:firstLineChars="300" w:firstLine="600"/>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9510 - COSTOS POR COBERTURA DE LA DEUDA PÚBLICA INTERNA</w:t>
            </w:r>
          </w:p>
        </w:tc>
        <w:tc>
          <w:tcPr>
            <w:tcW w:w="872" w:type="pct"/>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14,131,908.0 </w:t>
            </w:r>
          </w:p>
        </w:tc>
      </w:tr>
      <w:tr w:rsidR="006E1868" w:rsidRPr="001A33BF" w:rsidTr="000C3BC0">
        <w:trPr>
          <w:trHeight w:val="315"/>
        </w:trPr>
        <w:tc>
          <w:tcPr>
            <w:tcW w:w="4128"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TOTAL</w:t>
            </w:r>
          </w:p>
        </w:tc>
        <w:tc>
          <w:tcPr>
            <w:tcW w:w="872"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40,590,008,664.0 </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p w:rsidR="006E1868" w:rsidRPr="001A33BF" w:rsidRDefault="006E1868" w:rsidP="006E1868">
      <w:pPr>
        <w:rPr>
          <w:rFonts w:ascii="Barlow Medium" w:eastAsia="Times New Roman" w:hAnsi="Barlow Medium" w:cs="Times New Roman"/>
          <w:bCs/>
          <w:color w:val="000000"/>
          <w:sz w:val="20"/>
          <w:szCs w:val="20"/>
          <w:lang w:val="es-MX" w:eastAsia="es-MX"/>
        </w:rPr>
        <w:sectPr w:rsidR="006E1868" w:rsidRPr="001A33BF" w:rsidSect="002755FA">
          <w:headerReference w:type="even" r:id="rId8"/>
          <w:headerReference w:type="default" r:id="rId9"/>
          <w:footerReference w:type="even" r:id="rId10"/>
          <w:footerReference w:type="default" r:id="rId11"/>
          <w:pgSz w:w="12240" w:h="15840"/>
          <w:pgMar w:top="1588" w:right="1168" w:bottom="1869" w:left="1168" w:header="0" w:footer="1242" w:gutter="0"/>
          <w:cols w:space="708"/>
          <w:docGrid w:linePitch="360"/>
        </w:sectPr>
      </w:pPr>
    </w:p>
    <w:tbl>
      <w:tblPr>
        <w:tblW w:w="13080" w:type="dxa"/>
        <w:tblInd w:w="70" w:type="dxa"/>
        <w:tblCellMar>
          <w:left w:w="70" w:type="dxa"/>
          <w:right w:w="70" w:type="dxa"/>
        </w:tblCellMar>
        <w:tblLook w:val="04A0"/>
      </w:tblPr>
      <w:tblGrid>
        <w:gridCol w:w="5896"/>
        <w:gridCol w:w="1796"/>
        <w:gridCol w:w="1796"/>
        <w:gridCol w:w="1796"/>
        <w:gridCol w:w="1796"/>
      </w:tblGrid>
      <w:tr w:rsidR="006E1868" w:rsidRPr="001A33BF" w:rsidTr="000C3BC0">
        <w:trPr>
          <w:trHeight w:val="375"/>
        </w:trPr>
        <w:tc>
          <w:tcPr>
            <w:tcW w:w="58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p>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ANEXO 3a</w:t>
            </w: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75"/>
        </w:trPr>
        <w:tc>
          <w:tcPr>
            <w:tcW w:w="7692" w:type="dxa"/>
            <w:gridSpan w:val="2"/>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Integración del gasto de educación por tipo de recurso</w:t>
            </w: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bCs/>
                <w:color w:val="000000"/>
                <w:sz w:val="20"/>
                <w:szCs w:val="20"/>
                <w:lang w:val="es-MX" w:eastAsia="es-MX"/>
              </w:rPr>
            </w:pP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630"/>
        </w:trPr>
        <w:tc>
          <w:tcPr>
            <w:tcW w:w="5896" w:type="dxa"/>
            <w:tcBorders>
              <w:top w:val="nil"/>
              <w:left w:val="nil"/>
              <w:bottom w:val="nil"/>
              <w:right w:val="nil"/>
            </w:tcBorders>
            <w:shd w:val="clear" w:color="000000" w:fill="C5D9F1"/>
            <w:vAlign w:val="center"/>
            <w:hideMark/>
          </w:tcPr>
          <w:p w:rsidR="006E1868" w:rsidRPr="001A33BF" w:rsidRDefault="006E1868" w:rsidP="000C3BC0">
            <w:pPr>
              <w:jc w:val="center"/>
              <w:rPr>
                <w:rFonts w:ascii="Barlow Medium" w:eastAsia="Times New Roman" w:hAnsi="Barlow Medium" w:cs="Times New Roman"/>
                <w:bCs/>
                <w:sz w:val="20"/>
                <w:szCs w:val="20"/>
                <w:lang w:val="es-MX" w:eastAsia="es-MX"/>
              </w:rPr>
            </w:pPr>
            <w:r w:rsidRPr="001A33BF">
              <w:rPr>
                <w:rFonts w:ascii="Barlow Medium" w:eastAsia="Times New Roman" w:hAnsi="Barlow Medium" w:cs="Times New Roman"/>
                <w:bCs/>
                <w:sz w:val="20"/>
                <w:szCs w:val="20"/>
                <w:lang w:val="es-MX" w:eastAsia="es-MX"/>
              </w:rPr>
              <w:t xml:space="preserve"> DEPENDENCIAS </w:t>
            </w:r>
          </w:p>
        </w:tc>
        <w:tc>
          <w:tcPr>
            <w:tcW w:w="1796" w:type="dxa"/>
            <w:tcBorders>
              <w:top w:val="nil"/>
              <w:left w:val="nil"/>
              <w:bottom w:val="nil"/>
              <w:right w:val="nil"/>
            </w:tcBorders>
            <w:shd w:val="clear" w:color="000000" w:fill="C5D9F1"/>
            <w:vAlign w:val="center"/>
            <w:hideMark/>
          </w:tcPr>
          <w:p w:rsidR="006E1868" w:rsidRPr="001A33BF" w:rsidRDefault="006E1868" w:rsidP="000C3BC0">
            <w:pPr>
              <w:jc w:val="center"/>
              <w:rPr>
                <w:rFonts w:ascii="Barlow Medium" w:eastAsia="Times New Roman" w:hAnsi="Barlow Medium" w:cs="Times New Roman"/>
                <w:bCs/>
                <w:sz w:val="20"/>
                <w:szCs w:val="20"/>
                <w:lang w:val="es-MX" w:eastAsia="es-MX"/>
              </w:rPr>
            </w:pPr>
            <w:r w:rsidRPr="001A33BF">
              <w:rPr>
                <w:rFonts w:ascii="Barlow Medium" w:eastAsia="Times New Roman" w:hAnsi="Barlow Medium" w:cs="Times New Roman"/>
                <w:bCs/>
                <w:sz w:val="20"/>
                <w:szCs w:val="20"/>
                <w:lang w:val="es-MX" w:eastAsia="es-MX"/>
              </w:rPr>
              <w:t xml:space="preserve"> Ingresos Propios </w:t>
            </w:r>
          </w:p>
        </w:tc>
        <w:tc>
          <w:tcPr>
            <w:tcW w:w="1796" w:type="dxa"/>
            <w:tcBorders>
              <w:top w:val="nil"/>
              <w:left w:val="nil"/>
              <w:bottom w:val="nil"/>
              <w:right w:val="nil"/>
            </w:tcBorders>
            <w:shd w:val="clear" w:color="000000" w:fill="C5D9F1"/>
            <w:vAlign w:val="center"/>
            <w:hideMark/>
          </w:tcPr>
          <w:p w:rsidR="006E1868" w:rsidRPr="001A33BF" w:rsidRDefault="006E1868" w:rsidP="000C3BC0">
            <w:pPr>
              <w:jc w:val="center"/>
              <w:rPr>
                <w:rFonts w:ascii="Barlow Medium" w:eastAsia="Times New Roman" w:hAnsi="Barlow Medium" w:cs="Times New Roman"/>
                <w:bCs/>
                <w:sz w:val="20"/>
                <w:szCs w:val="20"/>
                <w:lang w:val="es-MX" w:eastAsia="es-MX"/>
              </w:rPr>
            </w:pPr>
            <w:r w:rsidRPr="001A33BF">
              <w:rPr>
                <w:rFonts w:ascii="Barlow Medium" w:eastAsia="Times New Roman" w:hAnsi="Barlow Medium" w:cs="Times New Roman"/>
                <w:bCs/>
                <w:sz w:val="20"/>
                <w:szCs w:val="20"/>
                <w:lang w:val="es-MX" w:eastAsia="es-MX"/>
              </w:rPr>
              <w:t xml:space="preserve"> Recursos Federales </w:t>
            </w:r>
          </w:p>
        </w:tc>
        <w:tc>
          <w:tcPr>
            <w:tcW w:w="1796" w:type="dxa"/>
            <w:tcBorders>
              <w:top w:val="nil"/>
              <w:left w:val="nil"/>
              <w:bottom w:val="nil"/>
              <w:right w:val="nil"/>
            </w:tcBorders>
            <w:shd w:val="clear" w:color="000000" w:fill="C5D9F1"/>
            <w:vAlign w:val="center"/>
            <w:hideMark/>
          </w:tcPr>
          <w:p w:rsidR="006E1868" w:rsidRPr="001A33BF" w:rsidRDefault="006E1868" w:rsidP="000C3BC0">
            <w:pPr>
              <w:jc w:val="center"/>
              <w:rPr>
                <w:rFonts w:ascii="Barlow Medium" w:eastAsia="Times New Roman" w:hAnsi="Barlow Medium" w:cs="Times New Roman"/>
                <w:bCs/>
                <w:sz w:val="20"/>
                <w:szCs w:val="20"/>
                <w:lang w:val="es-MX" w:eastAsia="es-MX"/>
              </w:rPr>
            </w:pPr>
            <w:r w:rsidRPr="001A33BF">
              <w:rPr>
                <w:rFonts w:ascii="Barlow Medium" w:eastAsia="Times New Roman" w:hAnsi="Barlow Medium" w:cs="Times New Roman"/>
                <w:bCs/>
                <w:sz w:val="20"/>
                <w:szCs w:val="20"/>
                <w:lang w:val="es-MX" w:eastAsia="es-MX"/>
              </w:rPr>
              <w:t xml:space="preserve"> Recursos Fiscales </w:t>
            </w:r>
          </w:p>
        </w:tc>
        <w:tc>
          <w:tcPr>
            <w:tcW w:w="1796" w:type="dxa"/>
            <w:tcBorders>
              <w:top w:val="nil"/>
              <w:left w:val="nil"/>
              <w:bottom w:val="nil"/>
              <w:right w:val="nil"/>
            </w:tcBorders>
            <w:shd w:val="clear" w:color="000000" w:fill="C5D9F1"/>
            <w:vAlign w:val="center"/>
            <w:hideMark/>
          </w:tcPr>
          <w:p w:rsidR="006E1868" w:rsidRPr="001A33BF" w:rsidRDefault="006E1868" w:rsidP="000C3BC0">
            <w:pPr>
              <w:jc w:val="center"/>
              <w:rPr>
                <w:rFonts w:ascii="Barlow Medium" w:eastAsia="Times New Roman" w:hAnsi="Barlow Medium" w:cs="Times New Roman"/>
                <w:bCs/>
                <w:sz w:val="20"/>
                <w:szCs w:val="20"/>
                <w:lang w:val="es-MX" w:eastAsia="es-MX"/>
              </w:rPr>
            </w:pPr>
            <w:r w:rsidRPr="001A33BF">
              <w:rPr>
                <w:rFonts w:ascii="Barlow Medium" w:eastAsia="Times New Roman" w:hAnsi="Barlow Medium" w:cs="Times New Roman"/>
                <w:bCs/>
                <w:sz w:val="20"/>
                <w:szCs w:val="20"/>
                <w:lang w:val="es-MX" w:eastAsia="es-MX"/>
              </w:rPr>
              <w:t xml:space="preserve"> Total general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SECRETARÍA DE EDUCACIÓN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9,691,518,457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136,925,814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9,828,444,271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SECRETARIA DE INVESTIGACIÓN, INNOVACIÓN Y EDUCACIÓN SUPERIOR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93,750,047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52,830,876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146,580,923 </w:t>
            </w:r>
          </w:p>
        </w:tc>
      </w:tr>
      <w:tr w:rsidR="006E1868" w:rsidRPr="001A33BF" w:rsidTr="000C3BC0">
        <w:trPr>
          <w:trHeight w:val="315"/>
        </w:trPr>
        <w:tc>
          <w:tcPr>
            <w:tcW w:w="58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ENTIDADES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90,970,663.00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1,292,097,548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79,396,078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1,462,464,289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COLEGIO DE BACHILLERES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405,930,139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31,187,597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437,117,736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COLEGIO DE EDUCACIÓN PROFESIONAL TÉCNICA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12,000,000.00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114,994,904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3,829,693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130,824,597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COLEGIO DE ESTUDIOS CIENTÍFICOS Y TECNOLÓGICOS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2,800,873.00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116,699,203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1,157,423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120,657,499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ESCUELA SUPERIOR DE ARTES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5,017,424.00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27,235,258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2,314,576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34,567,258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DE CAPACITACIÓN PARA EL TRABAJO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1,027,949.00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8,512,439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81,537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9,621,925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DE EDUCACIÓN PARA ADULTOS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115,144,466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1,642,805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116,787,271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TECNOLÓGICO SUPERIOR DE MOTUL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5,608,218.00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28,769,471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2,069,355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36,447,044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TECNOLÓGICO SUPERIOR DE VALLADOLID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6,199,189.00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35,319,950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1,418,410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42,937,549 </w:t>
            </w:r>
          </w:p>
        </w:tc>
      </w:tr>
      <w:tr w:rsidR="006E1868" w:rsidRPr="001A33BF" w:rsidTr="000C3BC0">
        <w:trPr>
          <w:trHeight w:val="54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TECNOLÓGICO SUPERIOR DEL SUR DEL ESTADO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3,497,449.00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31,935,021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3,384,115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38,816,585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TECNOLÓGICO SUPERIOR PROGRESO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6,090,932.00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35,843,998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1,688,571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43,623,501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INSTITUTO YUCATECO DE EMPRENDEDORES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3,549,588.00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25,476,140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9,861,673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38,887,401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DE ORIENTE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5,002,453.00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65,754,610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740,235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71,497,298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POLITÉCNICA DE YUCATÁN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1,950,610.00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27,544,881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1,568,819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31,064,310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TECNOLÓGICA DEL CENTRO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600,000.00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16,419,616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5,674,009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22,693,625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TECNOLÓGICA DEL MAYAB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1,311,644.00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30,813,009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589,222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32,713,875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lastRenderedPageBreak/>
              <w:t xml:space="preserve"> </w:t>
            </w:r>
          </w:p>
          <w:p w:rsidR="006E1868" w:rsidRPr="001A33BF" w:rsidRDefault="006E1868" w:rsidP="000C3BC0">
            <w:pPr>
              <w:rPr>
                <w:rFonts w:ascii="Barlow Medium" w:eastAsia="Times New Roman" w:hAnsi="Barlow Medium" w:cs="Times New Roman"/>
                <w:color w:val="000000"/>
                <w:sz w:val="20"/>
                <w:szCs w:val="20"/>
                <w:lang w:val="es-MX" w:eastAsia="es-MX"/>
              </w:rPr>
            </w:pPr>
          </w:p>
          <w:p w:rsidR="006E1868" w:rsidRPr="001A33BF" w:rsidRDefault="006E1868" w:rsidP="000C3BC0">
            <w:pPr>
              <w:rPr>
                <w:rFonts w:ascii="Barlow Medium" w:eastAsia="Times New Roman" w:hAnsi="Barlow Medium" w:cs="Times New Roman"/>
                <w:color w:val="000000"/>
                <w:sz w:val="20"/>
                <w:szCs w:val="20"/>
                <w:lang w:val="es-MX" w:eastAsia="es-MX"/>
              </w:rPr>
            </w:pPr>
          </w:p>
          <w:p w:rsidR="006E1868" w:rsidRPr="001A33BF" w:rsidRDefault="006E1868" w:rsidP="000C3BC0">
            <w:pPr>
              <w:rPr>
                <w:rFonts w:ascii="Barlow Medium" w:eastAsia="Times New Roman" w:hAnsi="Barlow Medium" w:cs="Times New Roman"/>
                <w:color w:val="000000"/>
                <w:sz w:val="20"/>
                <w:szCs w:val="20"/>
                <w:lang w:val="es-MX" w:eastAsia="es-MX"/>
              </w:rPr>
            </w:pPr>
          </w:p>
          <w:p w:rsidR="006E1868" w:rsidRPr="001A33BF" w:rsidRDefault="006E1868" w:rsidP="000C3BC0">
            <w:pPr>
              <w:rPr>
                <w:rFonts w:ascii="Barlow Medium" w:eastAsia="Times New Roman" w:hAnsi="Barlow Medium" w:cs="Times New Roman"/>
                <w:color w:val="000000"/>
                <w:sz w:val="20"/>
                <w:szCs w:val="20"/>
                <w:lang w:val="es-MX" w:eastAsia="es-MX"/>
              </w:rPr>
            </w:pPr>
          </w:p>
          <w:p w:rsidR="006E1868" w:rsidRPr="001A33BF" w:rsidRDefault="006E1868" w:rsidP="000C3BC0">
            <w:pPr>
              <w:rPr>
                <w:rFonts w:ascii="Barlow Medium" w:eastAsia="Times New Roman" w:hAnsi="Barlow Medium" w:cs="Times New Roman"/>
                <w:color w:val="000000"/>
                <w:sz w:val="20"/>
                <w:szCs w:val="20"/>
                <w:lang w:val="es-MX" w:eastAsia="es-MX"/>
              </w:rPr>
            </w:pPr>
          </w:p>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UNIVERSIDAD TECNOLÓGICA DEL PONIENTE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4,123,841.00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36,147,953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1,518,559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41,790,353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TECNOLÓGICA METROPOLITANA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31,062,993.00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140,118,036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8,720,653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179,901,682 </w:t>
            </w:r>
          </w:p>
        </w:tc>
      </w:tr>
      <w:tr w:rsidR="006E1868" w:rsidRPr="001A33BF" w:rsidTr="000C3BC0">
        <w:trPr>
          <w:trHeight w:val="300"/>
        </w:trPr>
        <w:tc>
          <w:tcPr>
            <w:tcW w:w="58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UNIVERSIDAD TECNOLÓGICA REGIONAL DEL SUR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1,127,500.00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29,438,454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1,948,826 </w:t>
            </w:r>
          </w:p>
        </w:tc>
        <w:tc>
          <w:tcPr>
            <w:tcW w:w="1796" w:type="dxa"/>
            <w:tcBorders>
              <w:top w:val="nil"/>
              <w:left w:val="nil"/>
              <w:bottom w:val="nil"/>
              <w:right w:val="nil"/>
            </w:tcBorders>
            <w:shd w:val="clear" w:color="auto" w:fill="auto"/>
            <w:vAlign w:val="center"/>
            <w:hideMark/>
          </w:tcPr>
          <w:p w:rsidR="006E1868" w:rsidRPr="001A33BF" w:rsidRDefault="006E1868" w:rsidP="000C3BC0">
            <w:pPr>
              <w:rPr>
                <w:rFonts w:ascii="Barlow Medium" w:eastAsia="Times New Roman" w:hAnsi="Barlow Medium" w:cs="Times New Roman"/>
                <w:color w:val="000000"/>
                <w:sz w:val="20"/>
                <w:szCs w:val="20"/>
                <w:lang w:val="es-MX" w:eastAsia="es-MX"/>
              </w:rPr>
            </w:pPr>
            <w:r w:rsidRPr="001A33BF">
              <w:rPr>
                <w:rFonts w:ascii="Barlow Medium" w:eastAsia="Times New Roman" w:hAnsi="Barlow Medium" w:cs="Times New Roman"/>
                <w:color w:val="000000"/>
                <w:sz w:val="20"/>
                <w:szCs w:val="20"/>
                <w:lang w:val="es-MX" w:eastAsia="es-MX"/>
              </w:rPr>
              <w:t xml:space="preserve">                 32,514,780 </w:t>
            </w:r>
          </w:p>
        </w:tc>
      </w:tr>
      <w:tr w:rsidR="006E1868" w:rsidRPr="001A33BF" w:rsidTr="000C3BC0">
        <w:trPr>
          <w:trHeight w:val="315"/>
        </w:trPr>
        <w:tc>
          <w:tcPr>
            <w:tcW w:w="58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TOTAL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90,970,663.00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11,077,366,052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269,152,768 </w:t>
            </w:r>
          </w:p>
        </w:tc>
        <w:tc>
          <w:tcPr>
            <w:tcW w:w="1796" w:type="dxa"/>
            <w:tcBorders>
              <w:top w:val="nil"/>
              <w:left w:val="nil"/>
              <w:bottom w:val="nil"/>
              <w:right w:val="nil"/>
            </w:tcBorders>
            <w:shd w:val="clear" w:color="000000" w:fill="C5D9F1"/>
            <w:vAlign w:val="center"/>
            <w:hideMark/>
          </w:tcPr>
          <w:p w:rsidR="006E1868" w:rsidRPr="001A33BF" w:rsidRDefault="006E1868" w:rsidP="000C3BC0">
            <w:pPr>
              <w:rPr>
                <w:rFonts w:ascii="Barlow Medium" w:eastAsia="Times New Roman" w:hAnsi="Barlow Medium" w:cs="Times New Roman"/>
                <w:bCs/>
                <w:color w:val="000000"/>
                <w:sz w:val="20"/>
                <w:szCs w:val="20"/>
                <w:lang w:val="es-MX" w:eastAsia="es-MX"/>
              </w:rPr>
            </w:pPr>
            <w:r w:rsidRPr="001A33BF">
              <w:rPr>
                <w:rFonts w:ascii="Barlow Medium" w:eastAsia="Times New Roman" w:hAnsi="Barlow Medium" w:cs="Times New Roman"/>
                <w:bCs/>
                <w:color w:val="000000"/>
                <w:sz w:val="20"/>
                <w:szCs w:val="20"/>
                <w:lang w:val="es-MX" w:eastAsia="es-MX"/>
              </w:rPr>
              <w:t xml:space="preserve"> 11,437,489,483 </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p w:rsidR="006E1868" w:rsidRPr="001A33BF" w:rsidRDefault="006E1868" w:rsidP="006E1868">
      <w:pPr>
        <w:rPr>
          <w:rFonts w:ascii="Barlow Medium" w:hAnsi="Barlow Medium"/>
          <w:sz w:val="20"/>
          <w:szCs w:val="20"/>
        </w:rPr>
        <w:sectPr w:rsidR="006E1868" w:rsidRPr="001A33BF" w:rsidSect="000C3BC0">
          <w:pgSz w:w="15840" w:h="12240" w:orient="landscape"/>
          <w:pgMar w:top="1168" w:right="1588" w:bottom="1168" w:left="1871" w:header="0" w:footer="1242" w:gutter="0"/>
          <w:cols w:space="708"/>
          <w:docGrid w:linePitch="360"/>
        </w:sectPr>
      </w:pPr>
    </w:p>
    <w:tbl>
      <w:tblPr>
        <w:tblW w:w="5000" w:type="pct"/>
        <w:tblCellMar>
          <w:left w:w="70" w:type="dxa"/>
          <w:right w:w="70" w:type="dxa"/>
        </w:tblCellMar>
        <w:tblLook w:val="04A0"/>
      </w:tblPr>
      <w:tblGrid>
        <w:gridCol w:w="1021"/>
        <w:gridCol w:w="1042"/>
        <w:gridCol w:w="1032"/>
        <w:gridCol w:w="979"/>
        <w:gridCol w:w="1032"/>
        <w:gridCol w:w="711"/>
        <w:gridCol w:w="213"/>
        <w:gridCol w:w="1060"/>
        <w:gridCol w:w="897"/>
        <w:gridCol w:w="1045"/>
        <w:gridCol w:w="908"/>
        <w:gridCol w:w="1403"/>
        <w:gridCol w:w="1178"/>
      </w:tblGrid>
      <w:tr w:rsidR="006E1868" w:rsidRPr="001A33BF" w:rsidTr="000C3BC0">
        <w:trPr>
          <w:trHeight w:val="375"/>
        </w:trPr>
        <w:tc>
          <w:tcPr>
            <w:tcW w:w="1634" w:type="pct"/>
            <w:gridSpan w:val="4"/>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p>
          <w:p w:rsidR="006E1868" w:rsidRPr="001A33BF" w:rsidRDefault="006E1868" w:rsidP="000C3BC0">
            <w:pPr>
              <w:jc w:val="center"/>
              <w:rPr>
                <w:rFonts w:ascii="Barlow Medium" w:eastAsia="Times New Roman" w:hAnsi="Barlow Medium" w:cs="Calibri"/>
                <w:bCs/>
                <w:color w:val="000000"/>
                <w:sz w:val="20"/>
                <w:szCs w:val="20"/>
                <w:lang w:val="es-MX" w:eastAsia="es-MX"/>
              </w:rPr>
            </w:pPr>
          </w:p>
          <w:p w:rsidR="006E1868" w:rsidRPr="001A33BF" w:rsidRDefault="006E1868" w:rsidP="000C3BC0">
            <w:pPr>
              <w:jc w:val="cente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PARTICIPACIONES Y APORTACIONES A MUNICIPIOS</w:t>
            </w:r>
          </w:p>
          <w:p w:rsidR="006E1868" w:rsidRPr="001A33BF" w:rsidRDefault="006E1868" w:rsidP="000C3BC0">
            <w:pPr>
              <w:jc w:val="center"/>
              <w:rPr>
                <w:rFonts w:ascii="Barlow Medium" w:eastAsia="Times New Roman" w:hAnsi="Barlow Medium" w:cs="Calibri"/>
                <w:bCs/>
                <w:color w:val="000000"/>
                <w:sz w:val="20"/>
                <w:szCs w:val="20"/>
                <w:lang w:val="es-MX" w:eastAsia="es-MX"/>
              </w:rPr>
            </w:pPr>
          </w:p>
        </w:tc>
        <w:tc>
          <w:tcPr>
            <w:tcW w:w="695" w:type="pct"/>
            <w:gridSpan w:val="2"/>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p>
        </w:tc>
        <w:tc>
          <w:tcPr>
            <w:tcW w:w="6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425"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360"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419"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364"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5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47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75"/>
        </w:trPr>
        <w:tc>
          <w:tcPr>
            <w:tcW w:w="2329" w:type="pct"/>
            <w:gridSpan w:val="6"/>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4a PARTICIPACIONES FEDERALES Y ESTATALES A MUNICIPIOS</w:t>
            </w:r>
          </w:p>
        </w:tc>
        <w:tc>
          <w:tcPr>
            <w:tcW w:w="67"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p>
        </w:tc>
        <w:tc>
          <w:tcPr>
            <w:tcW w:w="425"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360"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419"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364"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56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473"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00"/>
        </w:trPr>
        <w:tc>
          <w:tcPr>
            <w:tcW w:w="41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18"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1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39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1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348" w:type="pct"/>
            <w:gridSpan w:val="2"/>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25"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3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1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36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56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473"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0C3BC0" w:rsidRPr="001A33BF" w:rsidTr="000C3BC0">
        <w:trPr>
          <w:trHeight w:val="1200"/>
        </w:trPr>
        <w:tc>
          <w:tcPr>
            <w:tcW w:w="41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MUNICIPIOS</w:t>
            </w:r>
          </w:p>
        </w:tc>
        <w:tc>
          <w:tcPr>
            <w:tcW w:w="418"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GENERAL</w:t>
            </w:r>
          </w:p>
        </w:tc>
        <w:tc>
          <w:tcPr>
            <w:tcW w:w="414"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FOMENTO MUNICIPAL</w:t>
            </w:r>
          </w:p>
        </w:tc>
        <w:tc>
          <w:tcPr>
            <w:tcW w:w="393"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IMPUESTO ESPECIAL</w:t>
            </w:r>
          </w:p>
        </w:tc>
        <w:tc>
          <w:tcPr>
            <w:tcW w:w="414"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FOMENTO MUNICIPAL (30%)</w:t>
            </w:r>
          </w:p>
        </w:tc>
        <w:tc>
          <w:tcPr>
            <w:tcW w:w="348" w:type="pct"/>
            <w:gridSpan w:val="2"/>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ISR 100%</w:t>
            </w:r>
          </w:p>
        </w:tc>
        <w:tc>
          <w:tcPr>
            <w:tcW w:w="425"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FISCALIZACION Y RECAUDACIÓN</w:t>
            </w:r>
          </w:p>
        </w:tc>
        <w:tc>
          <w:tcPr>
            <w:tcW w:w="36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I. S. A. N.</w:t>
            </w:r>
          </w:p>
        </w:tc>
        <w:tc>
          <w:tcPr>
            <w:tcW w:w="41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DE COMPENSACIÓN DE ISAN</w:t>
            </w:r>
          </w:p>
        </w:tc>
        <w:tc>
          <w:tcPr>
            <w:tcW w:w="364"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IMPUESTO ESTATAL</w:t>
            </w:r>
          </w:p>
        </w:tc>
        <w:tc>
          <w:tcPr>
            <w:tcW w:w="563"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IEPS S/VENTA FINAL DE GASOLINA Y DIESEL</w:t>
            </w:r>
          </w:p>
        </w:tc>
        <w:tc>
          <w:tcPr>
            <w:tcW w:w="473"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TOTAL PARTICIPACIONES</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Abalá                                   </w:t>
            </w:r>
          </w:p>
        </w:tc>
        <w:tc>
          <w:tcPr>
            <w:tcW w:w="418"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8,757,841.8 </w:t>
            </w:r>
          </w:p>
        </w:tc>
        <w:tc>
          <w:tcPr>
            <w:tcW w:w="414"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3,442,814.7 </w:t>
            </w:r>
          </w:p>
        </w:tc>
        <w:tc>
          <w:tcPr>
            <w:tcW w:w="393"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196,342.2 </w:t>
            </w:r>
          </w:p>
        </w:tc>
        <w:tc>
          <w:tcPr>
            <w:tcW w:w="414"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926,966.0 </w:t>
            </w:r>
          </w:p>
        </w:tc>
        <w:tc>
          <w:tcPr>
            <w:tcW w:w="360"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150,288.7 </w:t>
            </w:r>
          </w:p>
        </w:tc>
        <w:tc>
          <w:tcPr>
            <w:tcW w:w="419" w:type="pct"/>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28,262.3 </w:t>
            </w:r>
          </w:p>
        </w:tc>
        <w:tc>
          <w:tcPr>
            <w:tcW w:w="364" w:type="pct"/>
            <w:tcBorders>
              <w:top w:val="single" w:sz="4" w:space="0" w:color="auto"/>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117,395.5 </w:t>
            </w:r>
          </w:p>
        </w:tc>
        <w:tc>
          <w:tcPr>
            <w:tcW w:w="563" w:type="pct"/>
            <w:tcBorders>
              <w:top w:val="single" w:sz="4" w:space="0" w:color="auto"/>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370,989.8 </w:t>
            </w:r>
          </w:p>
        </w:tc>
        <w:tc>
          <w:tcPr>
            <w:tcW w:w="473" w:type="pct"/>
            <w:tcBorders>
              <w:top w:val="single" w:sz="4" w:space="0" w:color="auto"/>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13,990,901.0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Acanceh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14,465,391.7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5,685,801.3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324,197.6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1,531,170.1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248,105.2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46,675.2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193,867.3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797,755.4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23,292,963.7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Akil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11,646,987.4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4,577,185.9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260,824.3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935,050.3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1,233,201.1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199,541.4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37,574.3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156,045.2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603,840.0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19,650,249.8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Baca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8,329,845.4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3,274,359.7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186,697.7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1,018.0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881,500.4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142,945.2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26,879.4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111,644.2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296,993.2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13,251,883.1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Bokobá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6,096,956.8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2,396,389.2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136,563.4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413,807.8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645,402.5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104,533.5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19,671.9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81,699.3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113,210.7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10,008,235.1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Buctzotz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10,171,221.4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3,999,210.1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228,042.6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795,678.8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1,076,638.2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174,617.8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32,829.6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136,369.3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460,619.7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17,075,227.4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Cacalchén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9,096,006.6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3,574,760.9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203,774.5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690,427.8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962,804.2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155,932.4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29,345.4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121,877.6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351,487.3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15,186,416.6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Calotmul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7,231,999.7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2,843,535.8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162,218.4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517,103.7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765,435.8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124,194.0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23,342.8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96,970.5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227,752.1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11,992,552.7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Cansahcab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7,581,800.4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2,981,143.1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170,083.9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552,462.9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802,436.4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130,218.8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24,472.5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101,665.3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247,564.8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12,591,847.9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Cantamayec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6,336,909.8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2,490,765.1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141,967.6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434,871.3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670,779.2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108,667.4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20,446.7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84,920.3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155,670.9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10,444,998.2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Celestún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9,477,887.0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3,724,226.6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212,018.8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733,993.7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1,003,606.5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162,246.6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30,571.9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126,938.7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391,053.4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15,862,543.2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Cenotillo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7,176,090.1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2,820,992.0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160,800.1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24,158.0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759,701.2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123,088.5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23,157.5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96,183.4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212,040.7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11,396,211.5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Conkal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11,483,342.5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4,509,350.3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256,343.6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969,641.5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1,215,801.3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196,150.4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37,016.4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153,634.6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485,253.5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19,306,533.9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Cuncunul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5,741,006.9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2,256,910.8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128,664.5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607,681.5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98,506.6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18,527.0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76,952.5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88,472.3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9,016,722.1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Cuzamá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7,928,352.0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3,116,515.6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177,662.5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580,806.0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839,224.7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135,996.5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25,583.6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106,259.5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285,590.7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13,195,991.1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Chacsinkín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6,620,263.0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2,602,157.0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148,280.5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460,705.0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700,802.2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113,513.1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21,361.1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88,713.9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174,578.0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10,930,373.9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Chankom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7,607,204.6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2,990,549.9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170,501.9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550,235.3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805,208.8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130,532.5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24,549.5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101,968.6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277,921.6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12,658,672.7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Chapab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6,705,311.1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2,635,609.0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150,245.4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468,616.5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709,768.7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114,997.2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21,635.8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89,861.5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179,878.4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11,075,923.6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Chemax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27,627,542.0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10,854,626.2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618,260.8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2,381,299.0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2,924,886.3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472,981.4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89,105.8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370,001.6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2,341,036.7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47,679,739.8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Chicxulub Pueblo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7,501,075.3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2,948,112.8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167,975.7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558,273.6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794,072.5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128,571.9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24,201.0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100,504.8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220,696.6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12,443,484.2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Chichimilá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9,921,756.5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3,899,991.6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222,321.7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763,583.4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1,050,246.2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170,172.0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32,015.2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132,971.6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494,316.3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16,687,374.3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Chikindzonot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7,375,813.3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2,899,687.5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165,376.2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780,676.9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126,597.7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23,803.8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98,877.5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266,029.1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11,736,861.8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Chocholá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7,609,730.5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2,991,500.6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170,537.0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554,921.6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805,493.9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130,561.7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24,557.3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101,998.5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238,790.8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12,628,091.7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Chumayel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6,810,950.2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2,676,829.4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152,594.1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478,160.7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22,911.0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720,954.1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116,769.5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21,974.2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91,265.0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196,232.4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11,288,640.7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Dzan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8,016,710.5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3,150,826.2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179,521.7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590,629.0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848,653.6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137,417.2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25,865.1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107,415.4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286,606.7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13,343,645.3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Dzemul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7,106,823.1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2,793,562.1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159,214.5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541,872.4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752,263.2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121,892.7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22,932.4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95,243.4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187,135.3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11,780,939.1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Dzidzantún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9,735,067.7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3,827,472.4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218,312.9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770,516.3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1,030,179.3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167,179.2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31,419.9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130,517.3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382,562.1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16,293,227.1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Dzilam de Bravo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6,419,678.4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2,522,878.8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143,734.3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444,573.5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679,625.7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109,998.4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20,710.3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86,005.4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136,757.7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10,563,962.5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Dzilam González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8,475,038.5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3,331,391.0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189,960.7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640,830.7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897,098.7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145,382.4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27,347.6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113,591.7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301,138.6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14,121,779.9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Dzitás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7,103,691.4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2,791,969.5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159,114.9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505,939.4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751,967.3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121,782.9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22,919.3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95,186.1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224,716.8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11,777,287.7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Dzoncauich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6,390,989.0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2,513,239.9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143,354.9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439,182.5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676,430.4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109,792.9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20,631.2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85,706.4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153,526.6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10,532,853.8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Espita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14,661,808.7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5,765,466.2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328,804.2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1,203,302.1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1,552,059.0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251,781.3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47,328.9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196,607.1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934,193.4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24,941,351.0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Halachó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17,057,532.8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6,706,251.1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382,242.5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1,427,882.0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1,805,694.6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292,697.5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55,051.5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228,654.6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1,110,211.9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29,066,218.5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Hocabá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8,513,502.1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3,346,915.8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190,937.5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633,712.3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901,091.3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146,134.5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27,475.2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114,134.2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349,431.6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14,223,334.5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Hoctún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8,427,201.3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3,312,415.1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188,828.8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892,024.2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144,529.8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27,191.7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112,937.4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340,113.9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13,445,242.2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Homún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9,417,874.0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3,701,914.5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211,006.2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718,226.6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996,917.3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161,520.0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30,389.1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126,215.0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409,262.5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15,773,325.2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Huhí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7,950,464.0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3,124,947.2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178,052.9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841,625.1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136,306.6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25,652.6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106,534.7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292,401.4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12,655,984.4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Hunucmá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24,442,292.2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9,610,008.2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547,743.6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2,129,218.9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2,587,403.6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419,473.0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78,888.3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327,661.6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1,677,710.9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41,820,400.3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Ixil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7,254,595.0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2,851,513.9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162,494.3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528,789.4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767,975.3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124,388.7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23,408.0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97,216.1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207,684.4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12,018,065.0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Izamal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21,033,742.5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8,270,325.4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471,750.6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1,814,777.2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2,226,305.2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361,188.8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67,891.7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282,029.8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1,373,131.6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35,901,142.7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Kanasín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61,840,109.4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24,264,593.3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1,377,563.8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5,782,551.2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6,548,060.9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1,053,255.4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199,182.8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826,366.9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4,248,795.4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106,140,479.1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Kantunil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8,114,878.3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3,190,762.9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182,022.7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597,523.4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858,895.0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139,362.5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26,193.2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108,811.7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305,104.5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13,523,554.1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Kaua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6,675,735.9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2,623,615.6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149,424.1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706,731.6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114,387.6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21,537.0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89,434.1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179,976.2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10,560,842.1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Kinchil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9,139,120.2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3,591,356.7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204,617.7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696,467.2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967,479.9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156,576.3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29,481.5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122,429.5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389,932.2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15,297,461.1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Kopomá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6,302,332.3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2,477,388.7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141,224.3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432,740.1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667,115.2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108,107.4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20,336.9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84,467.9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133,176.7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10,366,889.5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Mama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6,729,873.3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2,644,551.5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150,672.8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712,440.3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115,291.2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21,709.1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90,152.5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181,853.3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10,646,544.0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Maní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8,214,974.8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3,229,102.1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183,998.6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607,886.1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869,657.4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140,861.3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26,507.6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110,088.2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319,394.9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13,702,471.0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Maxcanú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18,577,312.8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7,303,229.7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416,435.0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1,574,552.8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1,966,197.6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318,834.9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59,952.5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249,023.4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1,231,638.3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31,697,176.9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Mayapán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7,083,116.2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2,782,797.2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158,536.6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502,305.3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749,832.4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121,268.5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22,844.1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94,860.3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246,760.4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11,762,321.0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Mérida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631,632,558.6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248,252,680.9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14,147,465.2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71,777,571.0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66,866,842.5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10,827,468.8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2,037,912.9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8,463,622.3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36,149,284.8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1,090,155,407.0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Mocochá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6,729,613.2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2,644,681.6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150,733.6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712,203.6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115,376.2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21,710.2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90,163.3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159,820.0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10,624,301.7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Motul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26,772,786.7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10,526,976.9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600,003.2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2,428,308.1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2,834,663.8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459,430.1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86,415.7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358,934.4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1,782,694.1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45,850,212.9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Muna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12,466,630.0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4,900,327.2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279,546.5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1,009,633.2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1,319,515.3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213,897.1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40,227.5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167,102.3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640,597.6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21,037,476.7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Muxupip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6,496,830.3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2,553,980.6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145,598.5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451,190.9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687,752.4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111,452.2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20,965.7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87,081.5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149,114.1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10,703,966.1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Opichén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8,898,063.5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3,497,059.9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199,275.8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941,956.9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152,509.8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28,707.4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119,221.2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369,318.3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14,206,112.8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Oxkutzcab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23,977,539.9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9,426,782.8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537,351.9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2,538,734.8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411,329.4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77,384.6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321,422.0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1,666,927.2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38,957,472.4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Panabá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9,545,225.9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3,752,793.9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213,943.8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746,352.6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1,010,489.4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163,797.7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30,806.7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127,960.1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411,071.7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16,002,441.7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Peto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20,263,026.5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7,968,999.7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454,465.2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1,758,985.7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2,145,692.9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347,933.6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65,417.8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271,760.0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1,368,111.3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34,644,392.7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Progreso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45,806,484.1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17,986,093.1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1,024,176.0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5,830,435.0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4,845,314.4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783,670.1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147,648.3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612,958.8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2,580,385.8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79,617,165.6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Quintana Roo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5,362,689.4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2,107,929.4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120,138.0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345,674.7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567,662.9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91,968.4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17,304.0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71,867.4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52,842.8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8,738,076.9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Río Lagartos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6,898,560.0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2,712,029.5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154,635.7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730,253.3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118,372.3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22,263.2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92,474.3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179,044.2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10,907,632.4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Sacalum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7,704,512.9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3,028,300.2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172,616.6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561,933.9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815,512.9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132,127.8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24,859.4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103,248.1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260,850.7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12,803,962.4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Samahil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7,882,871.4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3,099,213.7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176,703.0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577,904.0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834,385.3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135,302.0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25,441.5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105,676.1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272,141.7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13,109,638.7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Sanahcat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5,793,112.1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2,277,075.5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129,785.5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385,205.9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613,220.0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99,347.7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18,692.5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77,634.8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89,611.7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9,483,685.8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San Felipe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5,951,914.9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2,339,595.6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133,342.0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630,106.0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102,065.1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19,205.8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79,766.7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96,484.2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9,352,480.2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Santa Elena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7,254,650.9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2,851,657.2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162,525.8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524,142.5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767,947.8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124,418.4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23,409.2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97,224.3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223,522.6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12,029,498.6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Seyé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10,626,335.3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4,177,238.2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238,130.6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1,124,786.4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182,304.2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34,291.1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142,426.3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493,442.6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17,018,954.6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Sinanché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6,677,671.8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2,625,980.2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149,770.6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706,987.2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114,667.0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21,556.8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89,551.0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161,863.3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10,548,047.8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Sotuta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10,212,506.8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4,013,906.0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228,833.8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791,882.8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1,080,992.6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175,122.8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32,950.4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136,855.3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501,164.3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17,174,214.8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Sucilá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7,209,107.1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2,834,508.2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161,650.1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531,322.0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763,079.4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123,769.2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23,268.6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96,656.4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206,061.5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11,949,422.5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Sudzal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5,816,624.4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2,286,527.1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130,335.0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387,361.6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615,694.6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99,783.5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18,770.1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77,959.5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92,632.7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9,525,688.4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Suma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5,850,329.2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2,300,258.0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131,181.3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392,100.9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619,230.7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100,446.0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18,882.9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78,438.2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89,355.2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9,580,222.3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Tahdziú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7,909,916.8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3,108,551.8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176,954.4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578,761.2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837,453.5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135,484.9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25,517.6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105,953.6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310,948.5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13,189,542.4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Tahmek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6,994,539.2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2,749,756.2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156,799.0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740,354.1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120,034.7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22,572.9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93,761.7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196,716.7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11,074,534.5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Teabo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8,785,482.1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3,453,676.5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196,831.1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659,837.0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929,986.9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150,708.4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28,351.1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117,750.4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376,493.4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14,699,117.0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Tecoh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15,461,129.8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6,076,826.8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346,171.2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1,279,523.5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1,636,843.7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264,995.4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49,884.4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207,160.1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957,595.6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26,280,130.5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Tekal de Venegas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6,380,526.5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2,508,268.8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143,013.2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675,361.7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109,480.9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20,590.5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85,524.9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149,012.6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10,071,779.0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Tekantó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7,085,128.7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2,785,013.4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158,787.6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505,969.8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749,947.5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121,537.5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22,862.3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94,959.1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205,101.6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11,729,307.4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Tekax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30,440,799.1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11,970,297.1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682,471.3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2,667,783.2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3,222,413.3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522,698.2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98,264.0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408,173.5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2,205,339.4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52,218,239.1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Tekit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10,985,851.5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4,318,935.1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246,257.7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864,036.5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1,162,767.9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188,547.8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35,454.3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147,265.4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546,419.9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18,495,536.1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Tekom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6,753,066.5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2,654,467.1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151,315.8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473,086.6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714,818.0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115,827.4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21,790.6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90,504.4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188,582.1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11,163,458.4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Telchac Pueblo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7,023,707.6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2,761,314.4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157,404.9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505,470.9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743,576.2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120,503.5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22,667.6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94,150.8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185,324.6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11,614,120.4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Telchac Puerto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6,164,575.5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2,423,802.2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138,170.9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652,750.7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105,768.3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19,897.0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82,646.1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88,219.0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9,675,829.7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Temax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9,156,353.6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3,598,687.6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205,147.1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696,122.2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969,222.3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156,989.1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29,541.8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122,696.0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390,447.8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15,325,207.3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Temozón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14,302,994.7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5,622,011.2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320,583.1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1,166,287.8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1,513,938.2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245,340.2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46,151.5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191,695.0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909,040.6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24,318,042.3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Tepakán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6,091,642.5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2,394,873.3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136,589.2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412,023.0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644,759.6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104,561.4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19,659.7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81,664.4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123,146.8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10,008,919.7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Tetiz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7,920,539.2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3,112,762.4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177,365.0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580,994.8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838,442.8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135,744.7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25,552.7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106,117.4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301,769.7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13,199,288.7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Teya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5,948,021.3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2,338,428.8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133,341.4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399,481.1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629,576.6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102,087.3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19,196.2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79,736.3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104,732.8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9,754,601.7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Ticul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29,035,596.7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11,413,321.4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650,570.4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2,606,118.2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3,073,841.4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497,932.5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93,692.4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389,138.3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1,947,270.4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49,707,481.6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Timucuy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9,283,365.2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3,648,452.8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207,907.1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707,488.6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982,712.2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159,117.6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29,950.2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124,382.6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423,356.2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15,566,732.5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Tinúm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12,112,715.3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4,760,991.1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271,365.2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1,281,751.8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207,805.3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39,083.0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162,318.3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644,270.5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19,480,300.3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Tixcacalcupul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9,216,115.3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3,621,926.1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206,422.4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697,437.8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975,592.9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157,959.6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29,732.6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123,481.0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453,320.5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15,481,988.2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Tixkokob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15,395,464.3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6,053,455.7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345,212.2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1,629,613.7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264,335.7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49,693.1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206,421.9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834,288.9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24,778,485.6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Tixméhuac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7,750,018.1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3,047,045.9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173,746.2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820,323.7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133,034.2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25,013.3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103,899.9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287,494.7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12,340,576.1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Tixpéhual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8,044,303.2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3,162,499.1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180,384.2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594,251.1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297,375.0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851,384.2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138,087.6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25,961.2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107,841.3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273,367.1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13,675,453.9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Tizimín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52,847,409.3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20,778,825.7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1,184,602.7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5,003,461.4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548,824.0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5,595,747.2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906,796.2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170,573.9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708,521.4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4,184,145.0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91,928,906.8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Tunkás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6,940,633.8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2,728,558.4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155,568.1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490,589.4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734,660.4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119,100.6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22,398.8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93,036.2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203,582.1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11,488,127.6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Tzucacab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13,762,060.2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5,409,982.0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308,384.2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1,117,142.5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1,456,765.7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236,090.9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44,410.6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184,456.2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811,436.2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23,330,728.5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Uayma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7,269,789.7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2,857,163.3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162,826.8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519,946.2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769,549.4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124,618.4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23,454.5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97,407.8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242,855.9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12,067,611.9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Ucú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7,049,235.3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2,769,334.5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157,817.4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745,833.4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120,772.8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22,733.6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94,403.1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193,911.6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11,154,041.6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Umán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39,529,263.9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15,518,664.9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883,828.8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4,024,339.6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4,180,008.5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676,271.3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127,393.7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528,862.6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2,601,442.9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68,070,076.2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Valladolid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55,919,205.5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21,974,790.2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1,252,197.4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5,764,160.9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165.0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5,920,021.3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958,071.4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180,392.1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749,150.2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4,212,110.5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96,929,934.4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Xocchel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6,895,143.9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2,709,857.5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154,427.8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486,591.0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729,889.6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118,187.5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22,245.3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92,384.9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194,086.4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11,402,813.7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Yaxcabá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14,187,597.3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5,579,052.2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318,146.4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1,150,860.9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1,501,657.6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243,683.9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45,798.5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190,245.7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934,269.7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24,151,312.1 </w:t>
            </w:r>
          </w:p>
        </w:tc>
      </w:tr>
      <w:tr w:rsidR="000C3BC0" w:rsidRPr="001A33BF" w:rsidTr="000C3BC0">
        <w:trPr>
          <w:trHeight w:val="300"/>
        </w:trPr>
        <w:tc>
          <w:tcPr>
            <w:tcW w:w="410" w:type="pct"/>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Yaxkukul                                </w:t>
            </w:r>
          </w:p>
        </w:tc>
        <w:tc>
          <w:tcPr>
            <w:tcW w:w="418" w:type="pct"/>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6,657,382.7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2,616,482.6 </w:t>
            </w:r>
          </w:p>
        </w:tc>
        <w:tc>
          <w:tcPr>
            <w:tcW w:w="393"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149,089.2 </w:t>
            </w:r>
          </w:p>
        </w:tc>
        <w:tc>
          <w:tcPr>
            <w:tcW w:w="414"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348" w:type="pct"/>
            <w:gridSpan w:val="2"/>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704,736.3 </w:t>
            </w:r>
          </w:p>
        </w:tc>
        <w:tc>
          <w:tcPr>
            <w:tcW w:w="360"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114,113.0 </w:t>
            </w:r>
          </w:p>
        </w:tc>
        <w:tc>
          <w:tcPr>
            <w:tcW w:w="419" w:type="pct"/>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21,478.7 </w:t>
            </w:r>
          </w:p>
        </w:tc>
        <w:tc>
          <w:tcPr>
            <w:tcW w:w="364" w:type="pct"/>
            <w:tcBorders>
              <w:top w:val="nil"/>
              <w:left w:val="nil"/>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89,199.8 </w:t>
            </w:r>
          </w:p>
        </w:tc>
        <w:tc>
          <w:tcPr>
            <w:tcW w:w="563" w:type="pct"/>
            <w:tcBorders>
              <w:top w:val="nil"/>
              <w:left w:val="single" w:sz="4" w:space="0" w:color="auto"/>
              <w:bottom w:val="single" w:sz="4" w:space="0" w:color="auto"/>
              <w:right w:val="nil"/>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154,413.7 </w:t>
            </w:r>
          </w:p>
        </w:tc>
        <w:tc>
          <w:tcPr>
            <w:tcW w:w="473" w:type="pct"/>
            <w:tcBorders>
              <w:top w:val="nil"/>
              <w:left w:val="single" w:sz="4" w:space="0" w:color="auto"/>
              <w:bottom w:val="single" w:sz="4" w:space="0" w:color="auto"/>
              <w:right w:val="single" w:sz="4" w:space="0" w:color="000000"/>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10,506,896.0 </w:t>
            </w:r>
          </w:p>
        </w:tc>
      </w:tr>
      <w:tr w:rsidR="006E1868" w:rsidRPr="001A33BF" w:rsidTr="000C3BC0">
        <w:trPr>
          <w:trHeight w:val="300"/>
        </w:trPr>
        <w:tc>
          <w:tcPr>
            <w:tcW w:w="410"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Yobaín                                  </w:t>
            </w:r>
          </w:p>
        </w:tc>
        <w:tc>
          <w:tcPr>
            <w:tcW w:w="418"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6,171,335.8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2,425,018.4 </w:t>
            </w:r>
          </w:p>
        </w:tc>
        <w:tc>
          <w:tcPr>
            <w:tcW w:w="393"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138,205.1 </w:t>
            </w:r>
          </w:p>
        </w:tc>
        <w:tc>
          <w:tcPr>
            <w:tcW w:w="414"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432,890.1 </w:t>
            </w:r>
          </w:p>
        </w:tc>
        <w:tc>
          <w:tcPr>
            <w:tcW w:w="348" w:type="pct"/>
            <w:gridSpan w:val="2"/>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   </w:t>
            </w:r>
          </w:p>
        </w:tc>
        <w:tc>
          <w:tcPr>
            <w:tcW w:w="425"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653,037.2 </w:t>
            </w:r>
          </w:p>
        </w:tc>
        <w:tc>
          <w:tcPr>
            <w:tcW w:w="360"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105,793.4 </w:t>
            </w:r>
          </w:p>
        </w:tc>
        <w:tc>
          <w:tcPr>
            <w:tcW w:w="419" w:type="pct"/>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19,912.9 </w:t>
            </w:r>
          </w:p>
        </w:tc>
        <w:tc>
          <w:tcPr>
            <w:tcW w:w="364" w:type="pct"/>
            <w:tcBorders>
              <w:top w:val="nil"/>
              <w:left w:val="nil"/>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82,677.2 </w:t>
            </w:r>
          </w:p>
        </w:tc>
        <w:tc>
          <w:tcPr>
            <w:tcW w:w="563" w:type="pct"/>
            <w:tcBorders>
              <w:top w:val="nil"/>
              <w:left w:val="single" w:sz="4" w:space="0" w:color="auto"/>
              <w:bottom w:val="single" w:sz="4" w:space="0" w:color="auto"/>
              <w:right w:val="nil"/>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117,745.2 </w:t>
            </w:r>
          </w:p>
        </w:tc>
        <w:tc>
          <w:tcPr>
            <w:tcW w:w="473" w:type="pct"/>
            <w:tcBorders>
              <w:top w:val="nil"/>
              <w:left w:val="single" w:sz="4" w:space="0" w:color="auto"/>
              <w:bottom w:val="single" w:sz="4" w:space="0" w:color="auto"/>
              <w:right w:val="single" w:sz="4" w:space="0" w:color="000000"/>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10,146,615.2 </w:t>
            </w:r>
          </w:p>
        </w:tc>
      </w:tr>
      <w:tr w:rsidR="006E1868" w:rsidRPr="001A33BF" w:rsidTr="000C3BC0">
        <w:trPr>
          <w:trHeight w:val="330"/>
        </w:trPr>
        <w:tc>
          <w:tcPr>
            <w:tcW w:w="41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TOTAL </w:t>
            </w:r>
          </w:p>
        </w:tc>
        <w:tc>
          <w:tcPr>
            <w:tcW w:w="418"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1,875,286,304.2</w:t>
            </w:r>
          </w:p>
        </w:tc>
        <w:tc>
          <w:tcPr>
            <w:tcW w:w="41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737,039,210.0</w:t>
            </w:r>
          </w:p>
        </w:tc>
        <w:tc>
          <w:tcPr>
            <w:tcW w:w="393"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42,001,976.8</w:t>
            </w:r>
          </w:p>
        </w:tc>
        <w:tc>
          <w:tcPr>
            <w:tcW w:w="41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86,530,205.9</w:t>
            </w:r>
          </w:p>
        </w:tc>
        <w:tc>
          <w:tcPr>
            <w:tcW w:w="348" w:type="pct"/>
            <w:gridSpan w:val="2"/>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72,671,692.0</w:t>
            </w:r>
          </w:p>
        </w:tc>
        <w:tc>
          <w:tcPr>
            <w:tcW w:w="425"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198,510,546.8</w:t>
            </w:r>
          </w:p>
        </w:tc>
        <w:tc>
          <w:tcPr>
            <w:tcW w:w="36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32,147,781.2</w:t>
            </w:r>
          </w:p>
        </w:tc>
        <w:tc>
          <w:tcPr>
            <w:tcW w:w="41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6,050,371.0</w:t>
            </w:r>
          </w:p>
        </w:tc>
        <w:tc>
          <w:tcPr>
            <w:tcW w:w="36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25,127,468.5</w:t>
            </w:r>
          </w:p>
        </w:tc>
        <w:tc>
          <w:tcPr>
            <w:tcW w:w="563"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99,029,592.4</w:t>
            </w:r>
          </w:p>
        </w:tc>
        <w:tc>
          <w:tcPr>
            <w:tcW w:w="473"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3,174,395,149.0</w:t>
            </w:r>
          </w:p>
        </w:tc>
      </w:tr>
    </w:tbl>
    <w:p w:rsidR="006E1868" w:rsidRPr="001A33BF" w:rsidRDefault="006E1868" w:rsidP="006E1868">
      <w:pPr>
        <w:rPr>
          <w:rFonts w:ascii="Barlow Medium" w:hAnsi="Barlow Medium"/>
          <w:sz w:val="20"/>
          <w:szCs w:val="20"/>
        </w:rPr>
        <w:sectPr w:rsidR="006E1868" w:rsidRPr="001A33BF" w:rsidSect="000C3BC0">
          <w:pgSz w:w="15840" w:h="12240" w:orient="landscape"/>
          <w:pgMar w:top="1168" w:right="1588" w:bottom="1168" w:left="1871" w:header="0" w:footer="1242" w:gutter="0"/>
          <w:cols w:space="708"/>
          <w:docGrid w:linePitch="360"/>
        </w:sectPr>
      </w:pPr>
    </w:p>
    <w:tbl>
      <w:tblPr>
        <w:tblW w:w="9468" w:type="dxa"/>
        <w:tblInd w:w="70" w:type="dxa"/>
        <w:tblCellMar>
          <w:left w:w="70" w:type="dxa"/>
          <w:right w:w="70" w:type="dxa"/>
        </w:tblCellMar>
        <w:tblLook w:val="04A0"/>
      </w:tblPr>
      <w:tblGrid>
        <w:gridCol w:w="2191"/>
        <w:gridCol w:w="2645"/>
        <w:gridCol w:w="2396"/>
        <w:gridCol w:w="2236"/>
      </w:tblGrid>
      <w:tr w:rsidR="006E1868" w:rsidRPr="001A33BF" w:rsidTr="000C3BC0">
        <w:trPr>
          <w:trHeight w:val="315"/>
        </w:trPr>
        <w:tc>
          <w:tcPr>
            <w:tcW w:w="4836" w:type="dxa"/>
            <w:gridSpan w:val="2"/>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p>
          <w:p w:rsidR="006E1868" w:rsidRPr="001A33BF" w:rsidRDefault="006E1868" w:rsidP="000C3BC0">
            <w:pPr>
              <w:jc w:val="center"/>
              <w:rPr>
                <w:rFonts w:ascii="Barlow Medium" w:eastAsia="Times New Roman" w:hAnsi="Barlow Medium" w:cs="Calibri"/>
                <w:bCs/>
                <w:color w:val="000000"/>
                <w:sz w:val="20"/>
                <w:szCs w:val="20"/>
                <w:lang w:val="es-MX" w:eastAsia="es-MX"/>
              </w:rPr>
            </w:pPr>
          </w:p>
          <w:p w:rsidR="006E1868" w:rsidRPr="001A33BF" w:rsidRDefault="006E1868" w:rsidP="000C3BC0">
            <w:pPr>
              <w:jc w:val="cente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4b APORTACIONES A MUNICIPIOS</w:t>
            </w:r>
          </w:p>
        </w:tc>
        <w:tc>
          <w:tcPr>
            <w:tcW w:w="2396"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color w:val="000000"/>
                <w:sz w:val="20"/>
                <w:szCs w:val="20"/>
                <w:lang w:val="es-MX" w:eastAsia="es-MX"/>
              </w:rPr>
            </w:pPr>
          </w:p>
        </w:tc>
        <w:tc>
          <w:tcPr>
            <w:tcW w:w="2236"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00"/>
        </w:trPr>
        <w:tc>
          <w:tcPr>
            <w:tcW w:w="2191"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2645"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239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2236" w:type="dxa"/>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1500"/>
        </w:trPr>
        <w:tc>
          <w:tcPr>
            <w:tcW w:w="2191"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MUNICIPIOS</w:t>
            </w:r>
          </w:p>
        </w:tc>
        <w:tc>
          <w:tcPr>
            <w:tcW w:w="2645"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DE APORTACIONES PARA EL FORTALECIMIENTO DE LOS MUNICIPIOS</w:t>
            </w:r>
          </w:p>
        </w:tc>
        <w:tc>
          <w:tcPr>
            <w:tcW w:w="2396"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FONDO DE APORTACIONES PARA LA INFRAESTRUCTURA SOCIAL MUNICIPAL</w:t>
            </w:r>
          </w:p>
        </w:tc>
        <w:tc>
          <w:tcPr>
            <w:tcW w:w="2236"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TOTAL APORTACIONES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Abalá                                   </w:t>
            </w:r>
          </w:p>
        </w:tc>
        <w:tc>
          <w:tcPr>
            <w:tcW w:w="264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4,513,451.3 </w:t>
            </w:r>
          </w:p>
        </w:tc>
        <w:tc>
          <w:tcPr>
            <w:tcW w:w="2396" w:type="dxa"/>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7,018,023.0 </w:t>
            </w:r>
          </w:p>
        </w:tc>
        <w:tc>
          <w:tcPr>
            <w:tcW w:w="2236" w:type="dxa"/>
            <w:tcBorders>
              <w:top w:val="single" w:sz="4" w:space="0" w:color="auto"/>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11,531,474.2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Acanceh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11,194,675.6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8,547,237.1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19,741,912.7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Akil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7,852,217.4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9,972,649.0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17,824,866.3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Baca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4,033,789.6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3,953,276.2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7,987,065.8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Bokobá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1,520,892.6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2,719,374.2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4,240,266.8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Buctzotz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6,169,021.8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9,334,383.7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15,503,405.5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Cacalchén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5,014,583.0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3,291,193.9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8,305,776.9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Calotmul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2,771,140.2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9,121,467.0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11,892,607.2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Cansahcab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3,179,322.4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5,021,977.9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8,201,300.4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Cantamayec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1,748,584.0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8,021,916.9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9,770,500.9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Celestún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5,439,274.1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5,934,888.3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11,374,162.4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Cenotillo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2,697,496.8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6,875,254.5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9,572,751.4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Conkal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7,733,261.7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3,098,063.3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10,831,325.0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Cuncunul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1,091,240.4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3,413,178.3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4,504,418.7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Cuzamá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3,596,439.7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5,112,046.1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8,708,485.8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Chacsinkín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2,092,873.8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7,839,398.7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9,932,272.5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Chankom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3,181,352.0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15,893,192.7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19,074,544.7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Chapab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2,188,682.9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4,337,699.2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6,526,382.1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Chemax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25,600,845.8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86,941,128.4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112,541,974.2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Chicxulub Pueblo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3,101,466.5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2,337,634.0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5,439,100.6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Chichimilá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5,810,782.9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20,016,771.2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25,827,554.0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Chikindzonot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2,891,909.1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18,811,775.4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21,703,684.5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Chocholá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3,256,312.1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3,529,899.1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6,786,211.3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Chumayel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2,296,268.2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7,246,009.1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9,542,277.2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Dzan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3,718,567.4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8,574,999.4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12,293,566.8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Dzemul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2,542,009.2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2,715,454.0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5,257,463.2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Dzidzantún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5,675,510.9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4,487,864.6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10,163,375.5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Dzilam de Bravo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1,904,738.6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1,869,912.7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3,774,651.3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Dzilam González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4,248,264.8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5,311,392.3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9,559,657.0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Dzitás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2,625,978.7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8,700,527.3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11,326,506.0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Dzoncauich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1,811,123.7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5,313,325.1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7,124,448.7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lastRenderedPageBreak/>
              <w:t xml:space="preserve">Espita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11,155,864.4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31,465,581.6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42,621,446.0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Halachó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13,988,628.7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20,525,999.9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34,514,628.5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Hocabá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4,226,784.3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6,806,764.7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11,033,549.0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Hoctún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4,148,289.7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8,343,758.7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12,492,048.4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Homún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5,324,183.0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15,175,821.9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20,500,004.9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Huhí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3,622,082.1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6,448,466.8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10,070,548.8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Hunucmá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22,542,718.3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22,388,197.0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44,930,915.3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Ixil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2,827,286.8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2,115,585.1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4,942,871.9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Izamal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18,604,219.9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21,877,715.9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40,481,935.8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Kanasín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66,856,106.0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22,980,070.4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89,836,176.5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Kantunil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3,786,701.6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10,177,613.4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13,964,314.9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Kaua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2,165,030.8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7,535,476.8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9,700,507.7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Kinchil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4,988,841.4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7,239,535.9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12,228,377.2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Kopomá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1,745,819.6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2,626,800.2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4,372,619.8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Mama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2,228,204.8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5,487,990.8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7,716,195.5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Maní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3,912,943.9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8,690,218.6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12,603,162.5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Maxcanú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15,701,187.1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17,254,331.3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32,955,518.4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Mayapán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2,568,319.4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9,568,265.2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12,136,584.6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Mérida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619,435,994.8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254,318,982.1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873,754,976.9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Mocochá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2,233,796.2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1,701,254.5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3,935,050.7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Motul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25,056,914.9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22,474,348.2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47,531,263.1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Muna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8,831,129.8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13,752,425.1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22,583,554.9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Muxupip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1,969,331.6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2,350,547.7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4,319,879.3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Opichén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4,712,596.8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9,349,229.0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14,061,825.8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Oxkutzcab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21,659,007.3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36,718,655.1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58,377,662.3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Panabá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5,408,878.6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8,075,007.3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13,483,885.9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Peto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17,537,217.8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40,754,477.5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58,291,695.3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Progreso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41,039,422.6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24,890,857.5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65,930,280.1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Quintana Roo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668,484.6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3,663,580.4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4,332,065.0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Río Lagartos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2,430,960.6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2,872,823.0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5,303,783.6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Sacalum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3,345,141.8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5,103,068.2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8,448,209.9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Samahil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3,553,428.8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4,326,083.3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7,879,512.1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Sanahcat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1,164,848.5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1,907,760.0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3,072,608.4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San Felipe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1,350,087.9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2,460,680.1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3,810,767.9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Santa Elena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2,809,254.6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6,565,974.3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9,375,229.0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Seyé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6,749,986.2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7,452,056.6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14,202,042.8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Sinanché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2,143,599.5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3,267,254.7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5,410,854.2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Sotuta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6,179,384.3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20,034,500.9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26,213,885.2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Sucilá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2,719,758.0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4,255,805.7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6,975,563.7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lastRenderedPageBreak/>
              <w:t xml:space="preserve">Sudzal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1,187,020.6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3,827,489.5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5,014,510.1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Suma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1,223,156.5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2,026,591.6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3,249,748.1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Tahdziú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3,547,735.0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19,260,877.5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22,808,612.5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Tahmek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2,527,462.6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2,708,144.8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5,235,607.4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Teabo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4,547,423.7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14,401,299.8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18,948,723.5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Tecoh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12,223,290.1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14,243,505.5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26,466,795.6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Tekal de Venegas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1,815,942.9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5,204,207.1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7,020,150.0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Tekantó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2,628,096.4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3,852,251.7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6,480,348.1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Tekax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29,460,069.8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70,981,802.0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100,441,871.8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Tekit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7,102,658.5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8,425,835.7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15,528,494.2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Tekom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2,232,422.7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9,010,659.9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11,243,082.6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Telchac Pueblo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2,571,161.3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2,971,991.5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5,543,152.8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Telchac Puerto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1,234,218.1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1,433,812.5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2,668,030.6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Temax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5,004,867.9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12,124,313.7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17,129,181.6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Temozón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10,761,527.1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33,896,474.3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44,658,001.4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Tepakán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1,481,376.9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2,515,296.6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3,996,673.5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Tetiz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3,556,826.7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5,691,790.8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9,248,617.5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Teya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1,330,035.2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2,024,093.1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3,354,128.3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Ticul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27,877,927.0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22,592,355.2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50,470,282.2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Timucuy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5,110,346.3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6,558,209.7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11,668,556.0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Tinúm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8,289,643.4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16,920,771.6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25,210,415.0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Tixcacalcupul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4,968,050.0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24,273,099.7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29,241,149.8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Tixkokob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12,347,033.3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6,393,264.6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18,740,297.9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Tixméhuac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3,341,024.1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15,074,204.8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18,415,228.9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Tixpéhual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3,753,384.1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2,717,156.7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6,470,540.8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Tizimín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53,881,023.0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82,163,265.0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136,044,288.0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Tunkás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2,444,851.4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9,276,328.1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11,721,179.5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Tzucacab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10,262,414.1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29,536,438.4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39,798,852.5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Uayma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2,815,481.3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11,235,022.8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14,050,504.1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Ucú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2,555,875.7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2,377,724.4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4,933,600.0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Umán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38,359,447.9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20,298,886.5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58,658,334.4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Valladolid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55,749,344.4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85,215,143.1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140,964,487.5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Xocchel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2,417,042.0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4,068,226.7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6,485,268.7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Yaxcabá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10,553,352.3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44,137,657.5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54,691,009.8 </w:t>
            </w:r>
          </w:p>
        </w:tc>
      </w:tr>
      <w:tr w:rsidR="006E1868" w:rsidRPr="001A33BF" w:rsidTr="000C3BC0">
        <w:trPr>
          <w:trHeight w:val="300"/>
        </w:trPr>
        <w:tc>
          <w:tcPr>
            <w:tcW w:w="2191" w:type="dxa"/>
            <w:tcBorders>
              <w:top w:val="nil"/>
              <w:left w:val="nil"/>
              <w:bottom w:val="nil"/>
              <w:right w:val="nil"/>
            </w:tcBorders>
            <w:shd w:val="clear" w:color="000000" w:fill="F2F2F2"/>
            <w:vAlign w:val="bottom"/>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Yaxkukul                                </w:t>
            </w:r>
          </w:p>
        </w:tc>
        <w:tc>
          <w:tcPr>
            <w:tcW w:w="2645" w:type="dxa"/>
            <w:tcBorders>
              <w:top w:val="nil"/>
              <w:left w:val="single" w:sz="4" w:space="0" w:color="auto"/>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2,158,113.7 </w:t>
            </w:r>
          </w:p>
        </w:tc>
        <w:tc>
          <w:tcPr>
            <w:tcW w:w="239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2,150,017.9 </w:t>
            </w:r>
          </w:p>
        </w:tc>
        <w:tc>
          <w:tcPr>
            <w:tcW w:w="2236" w:type="dxa"/>
            <w:tcBorders>
              <w:top w:val="nil"/>
              <w:left w:val="nil"/>
              <w:bottom w:val="single" w:sz="4" w:space="0" w:color="auto"/>
              <w:right w:val="single" w:sz="4" w:space="0" w:color="auto"/>
            </w:tcBorders>
            <w:shd w:val="clear" w:color="000000" w:fill="F2F2F2"/>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4,308,131.6 </w:t>
            </w:r>
          </w:p>
        </w:tc>
      </w:tr>
      <w:tr w:rsidR="006E1868" w:rsidRPr="001A33BF" w:rsidTr="000C3BC0">
        <w:trPr>
          <w:trHeight w:val="300"/>
        </w:trPr>
        <w:tc>
          <w:tcPr>
            <w:tcW w:w="2191"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Yobaín                                  </w:t>
            </w:r>
          </w:p>
        </w:tc>
        <w:tc>
          <w:tcPr>
            <w:tcW w:w="2645"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1,545,839.8 </w:t>
            </w:r>
          </w:p>
        </w:tc>
        <w:tc>
          <w:tcPr>
            <w:tcW w:w="239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2,065,312.2 </w:t>
            </w:r>
          </w:p>
        </w:tc>
        <w:tc>
          <w:tcPr>
            <w:tcW w:w="2236" w:type="dxa"/>
            <w:tcBorders>
              <w:top w:val="nil"/>
              <w:left w:val="nil"/>
              <w:bottom w:val="single" w:sz="4" w:space="0" w:color="auto"/>
              <w:right w:val="single" w:sz="4" w:space="0" w:color="auto"/>
            </w:tcBorders>
            <w:shd w:val="clear" w:color="auto" w:fill="auto"/>
            <w:noWrap/>
            <w:vAlign w:val="bottom"/>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 xml:space="preserve">                        3,611,152.0 </w:t>
            </w:r>
          </w:p>
        </w:tc>
      </w:tr>
      <w:tr w:rsidR="006E1868" w:rsidRPr="001A33BF" w:rsidTr="000C3BC0">
        <w:trPr>
          <w:trHeight w:val="315"/>
        </w:trPr>
        <w:tc>
          <w:tcPr>
            <w:tcW w:w="2191" w:type="dxa"/>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TOTAL </w:t>
            </w:r>
          </w:p>
        </w:tc>
        <w:tc>
          <w:tcPr>
            <w:tcW w:w="2645" w:type="dxa"/>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1,455,760,000.0</w:t>
            </w:r>
          </w:p>
        </w:tc>
        <w:tc>
          <w:tcPr>
            <w:tcW w:w="2396" w:type="dxa"/>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1,600,019,000.0</w:t>
            </w:r>
          </w:p>
        </w:tc>
        <w:tc>
          <w:tcPr>
            <w:tcW w:w="2236" w:type="dxa"/>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3,055,779,000.0</w:t>
            </w:r>
          </w:p>
        </w:tc>
      </w:tr>
    </w:tbl>
    <w:p w:rsidR="000C3BC0" w:rsidRDefault="000C3BC0">
      <w:pPr>
        <w:sectPr w:rsidR="000C3BC0" w:rsidSect="002755FA">
          <w:headerReference w:type="even" r:id="rId12"/>
          <w:headerReference w:type="default" r:id="rId13"/>
          <w:footerReference w:type="even" r:id="rId14"/>
          <w:footerReference w:type="default" r:id="rId15"/>
          <w:pgSz w:w="12240" w:h="15840"/>
          <w:pgMar w:top="1588" w:right="1168" w:bottom="1869" w:left="1168" w:header="0" w:footer="1242" w:gutter="0"/>
          <w:cols w:space="708"/>
          <w:docGrid w:linePitch="360"/>
        </w:sectPr>
      </w:pPr>
      <w:r>
        <w:br w:type="page"/>
      </w:r>
    </w:p>
    <w:p w:rsidR="000C3BC0" w:rsidRDefault="000C3BC0"/>
    <w:tbl>
      <w:tblPr>
        <w:tblW w:w="12524" w:type="dxa"/>
        <w:tblCellMar>
          <w:left w:w="70" w:type="dxa"/>
          <w:right w:w="70" w:type="dxa"/>
        </w:tblCellMar>
        <w:tblLook w:val="04A0"/>
      </w:tblPr>
      <w:tblGrid>
        <w:gridCol w:w="1630"/>
        <w:gridCol w:w="2808"/>
        <w:gridCol w:w="2104"/>
        <w:gridCol w:w="2167"/>
        <w:gridCol w:w="1931"/>
        <w:gridCol w:w="1884"/>
      </w:tblGrid>
      <w:tr w:rsidR="006E1868" w:rsidRPr="001A33BF" w:rsidTr="000C3BC0">
        <w:trPr>
          <w:trHeight w:val="375"/>
        </w:trPr>
        <w:tc>
          <w:tcPr>
            <w:tcW w:w="12524" w:type="dxa"/>
            <w:gridSpan w:val="6"/>
            <w:tcBorders>
              <w:top w:val="nil"/>
              <w:left w:val="nil"/>
              <w:bottom w:val="nil"/>
              <w:right w:val="nil"/>
            </w:tcBorders>
            <w:shd w:val="clear" w:color="auto" w:fill="auto"/>
            <w:noWrap/>
            <w:vAlign w:val="center"/>
            <w:hideMark/>
          </w:tcPr>
          <w:p w:rsidR="006E1868" w:rsidRPr="001A33BF" w:rsidRDefault="006E1868" w:rsidP="000C3BC0">
            <w:pPr>
              <w:jc w:val="center"/>
              <w:rPr>
                <w:rFonts w:ascii="Barlow Medium" w:hAnsi="Barlow Medium"/>
                <w:sz w:val="20"/>
                <w:szCs w:val="20"/>
              </w:rPr>
            </w:pPr>
            <w:r w:rsidRPr="001A33BF">
              <w:rPr>
                <w:rFonts w:ascii="Barlow Medium" w:hAnsi="Barlow Medium"/>
                <w:sz w:val="20"/>
                <w:szCs w:val="20"/>
              </w:rPr>
              <w:br w:type="page"/>
            </w:r>
            <w:r w:rsidRPr="001A33BF">
              <w:rPr>
                <w:rFonts w:ascii="Barlow Medium" w:hAnsi="Barlow Medium"/>
                <w:sz w:val="20"/>
                <w:szCs w:val="20"/>
              </w:rPr>
              <w:br w:type="page"/>
            </w:r>
          </w:p>
          <w:p w:rsidR="006E1868" w:rsidRPr="001A33BF" w:rsidRDefault="006E1868" w:rsidP="000C3BC0">
            <w:pPr>
              <w:jc w:val="center"/>
              <w:rPr>
                <w:rFonts w:ascii="Barlow Medium" w:eastAsia="Times New Roman" w:hAnsi="Barlow Medium" w:cs="Calibri"/>
                <w:bCs/>
                <w:sz w:val="20"/>
                <w:szCs w:val="20"/>
                <w:lang w:val="es-MX" w:eastAsia="es-MX"/>
              </w:rPr>
            </w:pPr>
          </w:p>
          <w:p w:rsidR="006E1868" w:rsidRPr="001A33BF" w:rsidRDefault="006E1868" w:rsidP="000C3BC0">
            <w:pPr>
              <w:jc w:val="center"/>
              <w:rPr>
                <w:rFonts w:ascii="Barlow Medium" w:eastAsia="Times New Roman" w:hAnsi="Barlow Medium" w:cs="Calibri"/>
                <w:bCs/>
                <w:sz w:val="20"/>
                <w:szCs w:val="20"/>
                <w:lang w:val="es-MX" w:eastAsia="es-MX"/>
              </w:rPr>
            </w:pPr>
          </w:p>
          <w:p w:rsidR="006E1868" w:rsidRPr="001A33BF" w:rsidRDefault="006E1868" w:rsidP="000C3BC0">
            <w:pPr>
              <w:jc w:val="center"/>
              <w:rPr>
                <w:rFonts w:ascii="Barlow Medium" w:eastAsia="Times New Roman" w:hAnsi="Barlow Medium" w:cs="Calibri"/>
                <w:bCs/>
                <w:sz w:val="20"/>
                <w:szCs w:val="20"/>
                <w:lang w:val="es-MX" w:eastAsia="es-MX"/>
              </w:rPr>
            </w:pPr>
          </w:p>
          <w:p w:rsidR="006E1868" w:rsidRPr="001A33BF" w:rsidRDefault="006E1868" w:rsidP="000C3BC0">
            <w:pPr>
              <w:jc w:val="center"/>
              <w:rPr>
                <w:rFonts w:ascii="Barlow Medium" w:eastAsia="Times New Roman" w:hAnsi="Barlow Medium" w:cs="Times New Roman"/>
                <w:sz w:val="20"/>
                <w:szCs w:val="20"/>
                <w:lang w:val="es-MX" w:eastAsia="es-MX"/>
              </w:rPr>
            </w:pPr>
            <w:r w:rsidRPr="001A33BF">
              <w:rPr>
                <w:rFonts w:ascii="Barlow Medium" w:eastAsia="Times New Roman" w:hAnsi="Barlow Medium" w:cs="Calibri"/>
                <w:bCs/>
                <w:sz w:val="20"/>
                <w:szCs w:val="20"/>
                <w:lang w:val="es-MX" w:eastAsia="es-MX"/>
              </w:rPr>
              <w:t>ANEXO 5a Información Sobre la Deuda Pública</w:t>
            </w:r>
          </w:p>
        </w:tc>
      </w:tr>
      <w:tr w:rsidR="006E1868" w:rsidRPr="001A33BF" w:rsidTr="000C3BC0">
        <w:trPr>
          <w:trHeight w:val="390"/>
        </w:trPr>
        <w:tc>
          <w:tcPr>
            <w:tcW w:w="4438" w:type="dxa"/>
            <w:gridSpan w:val="2"/>
            <w:tcBorders>
              <w:top w:val="nil"/>
              <w:left w:val="nil"/>
              <w:bottom w:val="single" w:sz="4" w:space="0" w:color="000000"/>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sz w:val="20"/>
                <w:szCs w:val="20"/>
                <w:lang w:val="es-MX" w:eastAsia="es-MX"/>
              </w:rPr>
            </w:pPr>
          </w:p>
        </w:tc>
        <w:tc>
          <w:tcPr>
            <w:tcW w:w="2104"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Calibri"/>
                <w:bCs/>
                <w:sz w:val="20"/>
                <w:szCs w:val="20"/>
                <w:lang w:val="es-MX" w:eastAsia="es-MX"/>
              </w:rPr>
            </w:pPr>
          </w:p>
        </w:tc>
        <w:tc>
          <w:tcPr>
            <w:tcW w:w="2167"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1931"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1884" w:type="dxa"/>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585"/>
        </w:trPr>
        <w:tc>
          <w:tcPr>
            <w:tcW w:w="1630" w:type="dxa"/>
            <w:tcBorders>
              <w:top w:val="nil"/>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Institución de Crédito</w:t>
            </w:r>
          </w:p>
        </w:tc>
        <w:tc>
          <w:tcPr>
            <w:tcW w:w="2808" w:type="dxa"/>
            <w:tcBorders>
              <w:top w:val="nil"/>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Banco Nacional de Obras y Servicios Públicos, S.N.C. </w:t>
            </w:r>
          </w:p>
        </w:tc>
        <w:tc>
          <w:tcPr>
            <w:tcW w:w="2104" w:type="dxa"/>
            <w:tcBorders>
              <w:top w:val="single" w:sz="4" w:space="0" w:color="auto"/>
              <w:left w:val="single" w:sz="4" w:space="0" w:color="000000"/>
              <w:bottom w:val="single" w:sz="4" w:space="0" w:color="auto"/>
              <w:right w:val="single" w:sz="4" w:space="0" w:color="000000"/>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Banco Nacional de Obras y Servicios Públicos, S.N.C. </w:t>
            </w:r>
          </w:p>
        </w:tc>
        <w:tc>
          <w:tcPr>
            <w:tcW w:w="2167" w:type="dxa"/>
            <w:tcBorders>
              <w:top w:val="single" w:sz="4" w:space="0" w:color="000000"/>
              <w:left w:val="nil"/>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Banco Nacional de Obras y Servicios Públicos, S.N.C. </w:t>
            </w:r>
          </w:p>
        </w:tc>
        <w:tc>
          <w:tcPr>
            <w:tcW w:w="1931"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Banco Mercantil del Norte, S.A. </w:t>
            </w:r>
          </w:p>
        </w:tc>
        <w:tc>
          <w:tcPr>
            <w:tcW w:w="1884" w:type="dxa"/>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Banco Nacional de Obras y Servicios Públicos, S.N.C.</w:t>
            </w:r>
          </w:p>
        </w:tc>
      </w:tr>
      <w:tr w:rsidR="006E1868" w:rsidRPr="001A33BF" w:rsidTr="000C3BC0">
        <w:trPr>
          <w:trHeight w:val="645"/>
        </w:trPr>
        <w:tc>
          <w:tcPr>
            <w:tcW w:w="163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No. De Crédito</w:t>
            </w:r>
          </w:p>
        </w:tc>
        <w:tc>
          <w:tcPr>
            <w:tcW w:w="2808" w:type="dxa"/>
            <w:tcBorders>
              <w:top w:val="single" w:sz="4" w:space="0" w:color="auto"/>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9940</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11245</w:t>
            </w:r>
          </w:p>
        </w:tc>
        <w:tc>
          <w:tcPr>
            <w:tcW w:w="2167" w:type="dxa"/>
            <w:tcBorders>
              <w:top w:val="single" w:sz="4" w:space="0" w:color="auto"/>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110130 (Primera Disposición)</w:t>
            </w:r>
            <w:r w:rsidRPr="001A33BF">
              <w:rPr>
                <w:rFonts w:ascii="Barlow Medium" w:eastAsia="Times New Roman" w:hAnsi="Barlow Medium" w:cs="Calibri"/>
                <w:color w:val="000000"/>
                <w:sz w:val="20"/>
                <w:szCs w:val="20"/>
                <w:lang w:val="es-MX" w:eastAsia="es-MX"/>
              </w:rPr>
              <w:br/>
              <w:t>11242 (segunda disposición)</w:t>
            </w:r>
          </w:p>
        </w:tc>
        <w:tc>
          <w:tcPr>
            <w:tcW w:w="1931" w:type="dxa"/>
            <w:tcBorders>
              <w:top w:val="single" w:sz="4" w:space="0" w:color="auto"/>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NA</w:t>
            </w:r>
          </w:p>
        </w:tc>
        <w:tc>
          <w:tcPr>
            <w:tcW w:w="1884" w:type="dxa"/>
            <w:tcBorders>
              <w:top w:val="single" w:sz="4" w:space="0" w:color="auto"/>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ND</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Fecha de Contratación</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22 de julio de 2011</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13 de noviembre de 2013</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8 de abril de 2013</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20 de octubre de 2016</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09 de noviembre de 2017</w:t>
            </w:r>
          </w:p>
        </w:tc>
      </w:tr>
      <w:tr w:rsidR="006E1868" w:rsidRPr="001A33BF" w:rsidTr="000C3BC0">
        <w:trPr>
          <w:trHeight w:val="315"/>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Tipo de Instrumento</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Crédito Simple</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Crédito Simple</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Crédito Simple</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Crédito Simple</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Crédito Simple</w:t>
            </w:r>
          </w:p>
        </w:tc>
      </w:tr>
      <w:tr w:rsidR="006E1868" w:rsidRPr="001A33BF" w:rsidTr="000C3BC0">
        <w:trPr>
          <w:trHeight w:val="4995"/>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lastRenderedPageBreak/>
              <w:t>Destino</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Inversión Pública Productiva:</w:t>
            </w:r>
            <w:r w:rsidRPr="001A33BF">
              <w:rPr>
                <w:rFonts w:ascii="Barlow Medium" w:eastAsia="Times New Roman" w:hAnsi="Barlow Medium" w:cs="Calibri"/>
                <w:color w:val="000000"/>
                <w:sz w:val="20"/>
                <w:szCs w:val="20"/>
                <w:lang w:val="es-MX" w:eastAsia="es-MX"/>
              </w:rPr>
              <w:br/>
              <w:t>1.-Rescate Integral de Centro Histórico de Mérida.</w:t>
            </w:r>
            <w:r w:rsidRPr="001A33BF">
              <w:rPr>
                <w:rFonts w:ascii="Barlow Medium" w:eastAsia="Times New Roman" w:hAnsi="Barlow Medium" w:cs="Calibri"/>
                <w:color w:val="000000"/>
                <w:sz w:val="20"/>
                <w:szCs w:val="20"/>
                <w:lang w:val="es-MX" w:eastAsia="es-MX"/>
              </w:rPr>
              <w:br/>
              <w:t>2.-Construcción del Malecón Internacional en el Municipio de Progreso.</w:t>
            </w:r>
            <w:r w:rsidRPr="001A33BF">
              <w:rPr>
                <w:rFonts w:ascii="Barlow Medium" w:eastAsia="Times New Roman" w:hAnsi="Barlow Medium" w:cs="Calibri"/>
                <w:color w:val="000000"/>
                <w:sz w:val="20"/>
                <w:szCs w:val="20"/>
                <w:lang w:val="es-MX" w:eastAsia="es-MX"/>
              </w:rPr>
              <w:br/>
              <w:t>3.-Proyecto de Gestión adecuada de desechos en granjas porcinas, componente del Cambio Climático del Programa de Desarrollo Sostenible del Estado de Yucatán.</w:t>
            </w:r>
            <w:r w:rsidRPr="001A33BF">
              <w:rPr>
                <w:rFonts w:ascii="Barlow Medium" w:eastAsia="Times New Roman" w:hAnsi="Barlow Medium" w:cs="Calibri"/>
                <w:color w:val="000000"/>
                <w:sz w:val="20"/>
                <w:szCs w:val="20"/>
                <w:lang w:val="es-MX" w:eastAsia="es-MX"/>
              </w:rPr>
              <w:br/>
              <w:t>4.-Implementación de la Red Estatal de Servicios Electrónicos Gubernamentales.</w:t>
            </w:r>
            <w:r w:rsidRPr="001A33BF">
              <w:rPr>
                <w:rFonts w:ascii="Barlow Medium" w:eastAsia="Times New Roman" w:hAnsi="Barlow Medium" w:cs="Calibri"/>
                <w:color w:val="000000"/>
                <w:sz w:val="20"/>
                <w:szCs w:val="20"/>
                <w:lang w:val="es-MX" w:eastAsia="es-MX"/>
              </w:rPr>
              <w:br/>
              <w:t>5.-Implementación del Sistema Integral de Administración Financiera y Presupuestaria.</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Inversión Pública Productiva: Refinanciamiento de los pasivos del Estado.</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Inversión asociadas a proyectos en materia de infraestructura en general, infraestructura para seguridad pública y/o infraestructura y equipamiento:</w:t>
            </w:r>
            <w:r w:rsidRPr="001A33BF">
              <w:rPr>
                <w:rFonts w:ascii="Barlow Medium" w:eastAsia="Times New Roman" w:hAnsi="Barlow Medium" w:cs="Calibri"/>
                <w:color w:val="000000"/>
                <w:sz w:val="20"/>
                <w:szCs w:val="20"/>
                <w:lang w:val="es-MX" w:eastAsia="es-MX"/>
              </w:rPr>
              <w:br/>
              <w:t>1.-Sistema Integral de Video y Análisis Inteligente.</w:t>
            </w:r>
            <w:r w:rsidRPr="001A33BF">
              <w:rPr>
                <w:rFonts w:ascii="Barlow Medium" w:eastAsia="Times New Roman" w:hAnsi="Barlow Medium" w:cs="Calibri"/>
                <w:color w:val="000000"/>
                <w:sz w:val="20"/>
                <w:szCs w:val="20"/>
                <w:lang w:val="es-MX" w:eastAsia="es-MX"/>
              </w:rPr>
              <w:br/>
              <w:t>2.-Proyecto Estratégico de Vigilancia Territorial del Estado de Yucatán.</w:t>
            </w:r>
            <w:r w:rsidRPr="001A33BF">
              <w:rPr>
                <w:rFonts w:ascii="Barlow Medium" w:eastAsia="Times New Roman" w:hAnsi="Barlow Medium" w:cs="Calibri"/>
                <w:color w:val="000000"/>
                <w:sz w:val="20"/>
                <w:szCs w:val="20"/>
                <w:lang w:val="es-MX" w:eastAsia="es-MX"/>
              </w:rPr>
              <w:br/>
              <w:t>3.-Centro de Justicia Oral del Primer Distrito Judicial del Estado de Yucatán (1a Etapa)</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Inversión Pública Productiva que comprenden de manera exclusiva, infraestructura. Equipamiento y obras que fortalezcan o contribuyan a la seguridad pública, protección civil y la prevención del delito, conforme a las necesidades del Estado</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Inversión Pública Productiva: Centro Internacional de Congresos</w:t>
            </w:r>
          </w:p>
        </w:tc>
      </w:tr>
      <w:tr w:rsidR="006E1868" w:rsidRPr="001A33BF" w:rsidTr="000C3BC0">
        <w:trPr>
          <w:trHeight w:val="1575"/>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Fuente o Garantía del Crédito</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Fondo General de Participaciones</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Fondo General de Participaciones</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Fondo General de Participaciones</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25% de los Recursos del Fondo de Aportaciones para el Fortalecimiento de las Entidades Federativas.</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Fondo General de Participaciones</w:t>
            </w:r>
          </w:p>
        </w:tc>
      </w:tr>
      <w:tr w:rsidR="006E1868" w:rsidRPr="001A33BF" w:rsidTr="000C3BC0">
        <w:trPr>
          <w:trHeight w:val="315"/>
        </w:trPr>
        <w:tc>
          <w:tcPr>
            <w:tcW w:w="1630" w:type="dxa"/>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Monto Contratado</w:t>
            </w:r>
          </w:p>
        </w:tc>
        <w:tc>
          <w:tcPr>
            <w:tcW w:w="2808"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1,300,000,000.0 </w:t>
            </w:r>
          </w:p>
        </w:tc>
        <w:tc>
          <w:tcPr>
            <w:tcW w:w="2104"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1,591,380,112.7 </w:t>
            </w:r>
          </w:p>
        </w:tc>
        <w:tc>
          <w:tcPr>
            <w:tcW w:w="2167"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317,268,611.0 </w:t>
            </w:r>
          </w:p>
        </w:tc>
        <w:tc>
          <w:tcPr>
            <w:tcW w:w="1931"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1,500,000,000.0 </w:t>
            </w:r>
          </w:p>
        </w:tc>
        <w:tc>
          <w:tcPr>
            <w:tcW w:w="1884"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487,200,000.0 </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Tasa de Interés</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TIIE + 0.20 + 0.92</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TIIE + 0.54</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8.14% (Primera Disposición)</w:t>
            </w:r>
            <w:r w:rsidRPr="001A33BF">
              <w:rPr>
                <w:rFonts w:ascii="Barlow Medium" w:eastAsia="Times New Roman" w:hAnsi="Barlow Medium" w:cs="Calibri"/>
                <w:color w:val="000000"/>
                <w:sz w:val="20"/>
                <w:szCs w:val="20"/>
                <w:lang w:val="es-MX" w:eastAsia="es-MX"/>
              </w:rPr>
              <w:br/>
              <w:t>8.74% (Segunda Disposición)</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TIIE + 0.50</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TIIE + 0.40</w:t>
            </w:r>
          </w:p>
        </w:tc>
      </w:tr>
      <w:tr w:rsidR="006E1868" w:rsidRPr="001A33BF" w:rsidTr="000C3BC0">
        <w:trPr>
          <w:trHeight w:val="60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Plazo de Contratación</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300 meses </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180 meses</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240 meses</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180 meses</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cente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240 meses</w:t>
            </w:r>
          </w:p>
        </w:tc>
      </w:tr>
      <w:tr w:rsidR="006E1868" w:rsidRPr="001A33BF" w:rsidTr="000C3BC0">
        <w:trPr>
          <w:trHeight w:val="945"/>
        </w:trPr>
        <w:tc>
          <w:tcPr>
            <w:tcW w:w="1630" w:type="dxa"/>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lastRenderedPageBreak/>
              <w:t>Saldo de la Deuda al 31 de diciembre de 2018 (estimado)</w:t>
            </w:r>
          </w:p>
        </w:tc>
        <w:tc>
          <w:tcPr>
            <w:tcW w:w="2808"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613,380,644.5 </w:t>
            </w:r>
          </w:p>
        </w:tc>
        <w:tc>
          <w:tcPr>
            <w:tcW w:w="2104"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1,396,001,051.7 </w:t>
            </w:r>
          </w:p>
        </w:tc>
        <w:tc>
          <w:tcPr>
            <w:tcW w:w="2167"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306,931,762.0 </w:t>
            </w:r>
          </w:p>
        </w:tc>
        <w:tc>
          <w:tcPr>
            <w:tcW w:w="1931"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1,128,817,925.5 </w:t>
            </w:r>
          </w:p>
        </w:tc>
        <w:tc>
          <w:tcPr>
            <w:tcW w:w="1884" w:type="dxa"/>
            <w:tcBorders>
              <w:top w:val="nil"/>
              <w:left w:val="nil"/>
              <w:bottom w:val="single" w:sz="4" w:space="0" w:color="auto"/>
              <w:right w:val="single" w:sz="8"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483,240,638.6 </w:t>
            </w:r>
          </w:p>
        </w:tc>
      </w:tr>
      <w:tr w:rsidR="006E1868" w:rsidRPr="001A33BF" w:rsidTr="000C3BC0">
        <w:trPr>
          <w:trHeight w:val="126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Saldo Devengado Pendiente de Pagar al Cierre del Ejercicio Anterior</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r>
      <w:tr w:rsidR="006E1868" w:rsidRPr="001A33BF" w:rsidTr="000C3BC0">
        <w:trPr>
          <w:trHeight w:val="945"/>
        </w:trPr>
        <w:tc>
          <w:tcPr>
            <w:tcW w:w="1630" w:type="dxa"/>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Monto de Egresos Destinado al Pago de la Deuda</w:t>
            </w:r>
          </w:p>
        </w:tc>
        <w:tc>
          <w:tcPr>
            <w:tcW w:w="2808"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76,290,984.0 </w:t>
            </w:r>
          </w:p>
        </w:tc>
        <w:tc>
          <w:tcPr>
            <w:tcW w:w="2104"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170,577,686.0 </w:t>
            </w:r>
          </w:p>
        </w:tc>
        <w:tc>
          <w:tcPr>
            <w:tcW w:w="2167"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25,383,442.0 </w:t>
            </w:r>
          </w:p>
        </w:tc>
        <w:tc>
          <w:tcPr>
            <w:tcW w:w="1931"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147,249,771.0 </w:t>
            </w:r>
          </w:p>
        </w:tc>
        <w:tc>
          <w:tcPr>
            <w:tcW w:w="1884" w:type="dxa"/>
            <w:tcBorders>
              <w:top w:val="nil"/>
              <w:left w:val="nil"/>
              <w:bottom w:val="single" w:sz="4" w:space="0" w:color="auto"/>
              <w:right w:val="single" w:sz="8"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51,524,908.0 </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9100 Amortización de la Deuda</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12,403,870.0 </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52,529,216.0 </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50,268,654.0 </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4,981,649.0 </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9200 Intereses de la Deuda</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63,887,114.0 </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118,048,470.0 </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25,383,442.0 </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96,981,117.0 </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46,543,259.0 </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Costos Adicionales Asociados</w:t>
            </w:r>
          </w:p>
        </w:tc>
        <w:tc>
          <w:tcPr>
            <w:tcW w:w="2808"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2,000,000.0 </w:t>
            </w:r>
          </w:p>
        </w:tc>
        <w:tc>
          <w:tcPr>
            <w:tcW w:w="2104"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7,500,000.0 </w:t>
            </w:r>
          </w:p>
        </w:tc>
        <w:tc>
          <w:tcPr>
            <w:tcW w:w="2167"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   </w:t>
            </w:r>
          </w:p>
        </w:tc>
        <w:tc>
          <w:tcPr>
            <w:tcW w:w="1931" w:type="dxa"/>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3,131,908.0 </w:t>
            </w:r>
          </w:p>
        </w:tc>
        <w:tc>
          <w:tcPr>
            <w:tcW w:w="1884" w:type="dxa"/>
            <w:tcBorders>
              <w:top w:val="nil"/>
              <w:left w:val="nil"/>
              <w:bottom w:val="single" w:sz="4" w:space="0" w:color="auto"/>
              <w:right w:val="single" w:sz="8"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xml:space="preserve">                                  1,500,000.0 </w:t>
            </w:r>
          </w:p>
        </w:tc>
      </w:tr>
      <w:tr w:rsidR="006E1868" w:rsidRPr="001A33BF" w:rsidTr="000C3BC0">
        <w:trPr>
          <w:trHeight w:val="630"/>
        </w:trPr>
        <w:tc>
          <w:tcPr>
            <w:tcW w:w="1630" w:type="dxa"/>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9300 Comisiones de la Deuda</w:t>
            </w:r>
          </w:p>
        </w:tc>
        <w:tc>
          <w:tcPr>
            <w:tcW w:w="2808"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2104"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2167"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931" w:type="dxa"/>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884" w:type="dxa"/>
            <w:tcBorders>
              <w:top w:val="nil"/>
              <w:left w:val="nil"/>
              <w:bottom w:val="single" w:sz="4" w:space="0" w:color="auto"/>
              <w:right w:val="single" w:sz="8"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r>
      <w:tr w:rsidR="006E1868" w:rsidRPr="001A33BF" w:rsidTr="000C3BC0">
        <w:trPr>
          <w:trHeight w:val="645"/>
        </w:trPr>
        <w:tc>
          <w:tcPr>
            <w:tcW w:w="1630" w:type="dxa"/>
            <w:tcBorders>
              <w:top w:val="nil"/>
              <w:left w:val="single" w:sz="8" w:space="0" w:color="auto"/>
              <w:bottom w:val="single" w:sz="8"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9500 Costo por Coberturas</w:t>
            </w:r>
          </w:p>
        </w:tc>
        <w:tc>
          <w:tcPr>
            <w:tcW w:w="2808" w:type="dxa"/>
            <w:tcBorders>
              <w:top w:val="nil"/>
              <w:left w:val="nil"/>
              <w:bottom w:val="single" w:sz="8"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2,000,000.0 </w:t>
            </w:r>
          </w:p>
        </w:tc>
        <w:tc>
          <w:tcPr>
            <w:tcW w:w="2104" w:type="dxa"/>
            <w:tcBorders>
              <w:top w:val="nil"/>
              <w:left w:val="nil"/>
              <w:bottom w:val="single" w:sz="8"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7,500,000.0 </w:t>
            </w:r>
          </w:p>
        </w:tc>
        <w:tc>
          <w:tcPr>
            <w:tcW w:w="2167" w:type="dxa"/>
            <w:tcBorders>
              <w:top w:val="nil"/>
              <w:left w:val="nil"/>
              <w:bottom w:val="single" w:sz="8"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   </w:t>
            </w:r>
          </w:p>
        </w:tc>
        <w:tc>
          <w:tcPr>
            <w:tcW w:w="1931" w:type="dxa"/>
            <w:tcBorders>
              <w:top w:val="nil"/>
              <w:left w:val="nil"/>
              <w:bottom w:val="single" w:sz="8"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3,131,908.0 </w:t>
            </w:r>
          </w:p>
        </w:tc>
        <w:tc>
          <w:tcPr>
            <w:tcW w:w="1884" w:type="dxa"/>
            <w:tcBorders>
              <w:top w:val="nil"/>
              <w:left w:val="nil"/>
              <w:bottom w:val="single" w:sz="8" w:space="0" w:color="auto"/>
              <w:right w:val="single" w:sz="8"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1,500,000.0 </w:t>
            </w:r>
          </w:p>
        </w:tc>
      </w:tr>
    </w:tbl>
    <w:p w:rsidR="006E1868" w:rsidRPr="001A33BF" w:rsidRDefault="006E1868" w:rsidP="006E1868">
      <w:pPr>
        <w:rPr>
          <w:rFonts w:ascii="Barlow Medium" w:hAnsi="Barlow Medium"/>
          <w:sz w:val="20"/>
          <w:szCs w:val="20"/>
        </w:rPr>
      </w:pPr>
    </w:p>
    <w:p w:rsidR="000C3BC0" w:rsidRDefault="006E1868" w:rsidP="006E1868">
      <w:pPr>
        <w:rPr>
          <w:rFonts w:ascii="Barlow Medium" w:hAnsi="Barlow Medium"/>
          <w:sz w:val="20"/>
          <w:szCs w:val="20"/>
        </w:rPr>
        <w:sectPr w:rsidR="000C3BC0" w:rsidSect="000C3BC0">
          <w:pgSz w:w="15840" w:h="12240" w:orient="landscape"/>
          <w:pgMar w:top="1168" w:right="1869" w:bottom="1168" w:left="1588" w:header="0" w:footer="1242" w:gutter="0"/>
          <w:cols w:space="708"/>
          <w:docGrid w:linePitch="360"/>
        </w:sectPr>
      </w:pPr>
      <w:r w:rsidRPr="001A33BF">
        <w:rPr>
          <w:rFonts w:ascii="Barlow Medium" w:hAnsi="Barlow Medium"/>
          <w:sz w:val="20"/>
          <w:szCs w:val="20"/>
        </w:rPr>
        <w:br w:type="page"/>
      </w:r>
    </w:p>
    <w:p w:rsidR="006E1868" w:rsidRPr="001A33BF" w:rsidRDefault="006E1868" w:rsidP="006E1868">
      <w:pPr>
        <w:rPr>
          <w:rFonts w:ascii="Barlow Medium" w:hAnsi="Barlow Medium"/>
          <w:sz w:val="20"/>
          <w:szCs w:val="20"/>
        </w:rPr>
      </w:pPr>
    </w:p>
    <w:tbl>
      <w:tblPr>
        <w:tblW w:w="5000" w:type="pct"/>
        <w:tblCellMar>
          <w:left w:w="70" w:type="dxa"/>
          <w:right w:w="70" w:type="dxa"/>
        </w:tblCellMar>
        <w:tblLook w:val="04A0"/>
      </w:tblPr>
      <w:tblGrid>
        <w:gridCol w:w="1890"/>
        <w:gridCol w:w="2824"/>
        <w:gridCol w:w="2248"/>
        <w:gridCol w:w="893"/>
        <w:gridCol w:w="1249"/>
        <w:gridCol w:w="940"/>
      </w:tblGrid>
      <w:tr w:rsidR="006E1868" w:rsidRPr="001A33BF" w:rsidTr="000C3BC0">
        <w:trPr>
          <w:trHeight w:val="300"/>
        </w:trPr>
        <w:tc>
          <w:tcPr>
            <w:tcW w:w="2559" w:type="pct"/>
            <w:gridSpan w:val="3"/>
            <w:tcBorders>
              <w:top w:val="nil"/>
              <w:left w:val="nil"/>
              <w:bottom w:val="nil"/>
              <w:right w:val="nil"/>
            </w:tcBorders>
            <w:shd w:val="clear" w:color="auto" w:fill="auto"/>
            <w:noWrap/>
            <w:vAlign w:val="bottom"/>
            <w:hideMark/>
          </w:tcPr>
          <w:p w:rsidR="006E1868" w:rsidRPr="000C3BC0" w:rsidRDefault="006E1868" w:rsidP="000C3BC0">
            <w:pPr>
              <w:rPr>
                <w:rFonts w:ascii="Barlow Medium" w:eastAsia="Times New Roman" w:hAnsi="Barlow Medium" w:cs="Calibri"/>
                <w:b/>
                <w:bCs/>
                <w:color w:val="000000"/>
                <w:sz w:val="22"/>
                <w:szCs w:val="20"/>
                <w:lang w:val="es-MX" w:eastAsia="es-MX"/>
              </w:rPr>
            </w:pPr>
          </w:p>
          <w:p w:rsidR="006E1868" w:rsidRPr="000C3BC0" w:rsidRDefault="006E1868" w:rsidP="000C3BC0">
            <w:pPr>
              <w:rPr>
                <w:rFonts w:ascii="Barlow Medium" w:eastAsia="Times New Roman" w:hAnsi="Barlow Medium" w:cs="Calibri"/>
                <w:b/>
                <w:bCs/>
                <w:color w:val="000000"/>
                <w:sz w:val="22"/>
                <w:szCs w:val="20"/>
                <w:lang w:val="es-MX" w:eastAsia="es-MX"/>
              </w:rPr>
            </w:pPr>
          </w:p>
          <w:p w:rsidR="006E1868" w:rsidRPr="000C3BC0" w:rsidRDefault="006E1868" w:rsidP="000C3BC0">
            <w:pPr>
              <w:rPr>
                <w:rFonts w:ascii="Barlow Medium" w:eastAsia="Times New Roman" w:hAnsi="Barlow Medium" w:cs="Calibri"/>
                <w:b/>
                <w:bCs/>
                <w:color w:val="000000"/>
                <w:sz w:val="22"/>
                <w:szCs w:val="20"/>
                <w:lang w:val="es-MX" w:eastAsia="es-MX"/>
              </w:rPr>
            </w:pPr>
          </w:p>
          <w:p w:rsidR="006E1868" w:rsidRPr="000C3BC0" w:rsidRDefault="006E1868" w:rsidP="000C3BC0">
            <w:pPr>
              <w:rPr>
                <w:rFonts w:ascii="Barlow Medium" w:eastAsia="Times New Roman" w:hAnsi="Barlow Medium" w:cs="Calibri"/>
                <w:b/>
                <w:bCs/>
                <w:color w:val="000000"/>
                <w:sz w:val="22"/>
                <w:szCs w:val="20"/>
                <w:lang w:val="es-MX" w:eastAsia="es-MX"/>
              </w:rPr>
            </w:pPr>
            <w:r w:rsidRPr="000C3BC0">
              <w:rPr>
                <w:rFonts w:ascii="Barlow Medium" w:eastAsia="Times New Roman" w:hAnsi="Barlow Medium" w:cs="Calibri"/>
                <w:b/>
                <w:bCs/>
                <w:color w:val="000000"/>
                <w:sz w:val="22"/>
                <w:szCs w:val="20"/>
                <w:lang w:val="es-MX" w:eastAsia="es-MX"/>
              </w:rPr>
              <w:t xml:space="preserve">5b  Tabla de Amortización de la Deuda. </w:t>
            </w:r>
            <w:r w:rsidR="000C3BC0" w:rsidRPr="000C3BC0">
              <w:rPr>
                <w:rFonts w:ascii="Barlow Medium" w:eastAsia="Times New Roman" w:hAnsi="Barlow Medium" w:cs="Calibri"/>
                <w:b/>
                <w:bCs/>
                <w:color w:val="000000"/>
                <w:sz w:val="22"/>
                <w:szCs w:val="20"/>
                <w:lang w:val="es-MX" w:eastAsia="es-MX"/>
              </w:rPr>
              <w:t xml:space="preserve">Programa Financiero de la Deuda </w:t>
            </w:r>
            <w:r w:rsidRPr="000C3BC0">
              <w:rPr>
                <w:rFonts w:ascii="Barlow Medium" w:eastAsia="Times New Roman" w:hAnsi="Barlow Medium" w:cs="Calibri"/>
                <w:b/>
                <w:bCs/>
                <w:color w:val="000000"/>
                <w:sz w:val="22"/>
                <w:szCs w:val="20"/>
                <w:lang w:val="es-MX" w:eastAsia="es-MX"/>
              </w:rPr>
              <w:t>Pública</w:t>
            </w:r>
          </w:p>
        </w:tc>
        <w:tc>
          <w:tcPr>
            <w:tcW w:w="922"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69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3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82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922"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300"/>
        </w:trPr>
        <w:tc>
          <w:tcPr>
            <w:tcW w:w="69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103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826"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922"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76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0C3BC0" w:rsidRPr="001A33BF" w:rsidTr="000C3BC0">
        <w:trPr>
          <w:trHeight w:val="615"/>
        </w:trPr>
        <w:tc>
          <w:tcPr>
            <w:tcW w:w="694"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MES</w:t>
            </w:r>
          </w:p>
        </w:tc>
        <w:tc>
          <w:tcPr>
            <w:tcW w:w="103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SALDO INSOLUTO INICIAL</w:t>
            </w:r>
          </w:p>
        </w:tc>
        <w:tc>
          <w:tcPr>
            <w:tcW w:w="826"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AMORTIZACIÓN DE CAPITAL</w:t>
            </w:r>
          </w:p>
        </w:tc>
        <w:tc>
          <w:tcPr>
            <w:tcW w:w="922"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SERVICIO DE LA DEUDA</w:t>
            </w:r>
          </w:p>
        </w:tc>
        <w:tc>
          <w:tcPr>
            <w:tcW w:w="76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COBERTURAS FINANCIERAS</w:t>
            </w:r>
          </w:p>
        </w:tc>
        <w:tc>
          <w:tcPr>
            <w:tcW w:w="76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PAGO MENSUAL</w:t>
            </w:r>
          </w:p>
        </w:tc>
      </w:tr>
      <w:tr w:rsidR="000C3BC0" w:rsidRPr="001A33BF" w:rsidTr="000C3BC0">
        <w:trPr>
          <w:trHeight w:val="300"/>
        </w:trPr>
        <w:tc>
          <w:tcPr>
            <w:tcW w:w="694" w:type="pct"/>
            <w:tcBorders>
              <w:top w:val="single" w:sz="4" w:space="0" w:color="auto"/>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ENERO</w:t>
            </w:r>
          </w:p>
        </w:tc>
        <w:tc>
          <w:tcPr>
            <w:tcW w:w="1039"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3,928.4 </w:t>
            </w:r>
          </w:p>
        </w:tc>
        <w:tc>
          <w:tcPr>
            <w:tcW w:w="826"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14.0 </w:t>
            </w:r>
          </w:p>
        </w:tc>
        <w:tc>
          <w:tcPr>
            <w:tcW w:w="922"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47.4 </w:t>
            </w:r>
          </w:p>
        </w:tc>
        <w:tc>
          <w:tcPr>
            <w:tcW w:w="760"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11.4 </w:t>
            </w:r>
          </w:p>
        </w:tc>
        <w:tc>
          <w:tcPr>
            <w:tcW w:w="760"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72.8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FEBRERO</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3,914.38</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10.32</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29.24</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0.34</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39.9</w:t>
            </w:r>
          </w:p>
        </w:tc>
      </w:tr>
      <w:tr w:rsidR="000C3BC0" w:rsidRPr="001A33BF" w:rsidTr="000C3BC0">
        <w:trPr>
          <w:trHeight w:val="300"/>
        </w:trPr>
        <w:tc>
          <w:tcPr>
            <w:tcW w:w="694" w:type="pct"/>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MARZO</w:t>
            </w:r>
          </w:p>
        </w:tc>
        <w:tc>
          <w:tcPr>
            <w:tcW w:w="103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3,904.1 </w:t>
            </w:r>
          </w:p>
        </w:tc>
        <w:tc>
          <w:tcPr>
            <w:tcW w:w="826"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9.4 </w:t>
            </w:r>
          </w:p>
        </w:tc>
        <w:tc>
          <w:tcPr>
            <w:tcW w:w="922"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28.5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0.4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38.3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ABRIL</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3,894.67</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10.27</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29.96</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0.3</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40.53</w:t>
            </w:r>
          </w:p>
        </w:tc>
      </w:tr>
      <w:tr w:rsidR="000C3BC0" w:rsidRPr="001A33BF" w:rsidTr="000C3BC0">
        <w:trPr>
          <w:trHeight w:val="300"/>
        </w:trPr>
        <w:tc>
          <w:tcPr>
            <w:tcW w:w="694" w:type="pct"/>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MAYO</w:t>
            </w:r>
          </w:p>
        </w:tc>
        <w:tc>
          <w:tcPr>
            <w:tcW w:w="103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3,884.4 </w:t>
            </w:r>
          </w:p>
        </w:tc>
        <w:tc>
          <w:tcPr>
            <w:tcW w:w="826"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9.9 </w:t>
            </w:r>
          </w:p>
        </w:tc>
        <w:tc>
          <w:tcPr>
            <w:tcW w:w="922"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28.9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0.3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39.1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JUNIO</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3,874.53</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9.98</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28.57</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0.28</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38.83</w:t>
            </w:r>
          </w:p>
        </w:tc>
      </w:tr>
      <w:tr w:rsidR="000C3BC0" w:rsidRPr="001A33BF" w:rsidTr="000C3BC0">
        <w:trPr>
          <w:trHeight w:val="300"/>
        </w:trPr>
        <w:tc>
          <w:tcPr>
            <w:tcW w:w="694" w:type="pct"/>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JULIO</w:t>
            </w:r>
          </w:p>
        </w:tc>
        <w:tc>
          <w:tcPr>
            <w:tcW w:w="103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3,864.6 </w:t>
            </w:r>
          </w:p>
        </w:tc>
        <w:tc>
          <w:tcPr>
            <w:tcW w:w="826"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9.3 </w:t>
            </w:r>
          </w:p>
        </w:tc>
        <w:tc>
          <w:tcPr>
            <w:tcW w:w="922"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26.7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0.2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36.2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AGOSTO</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3,855.28</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8.61</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27.13</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0.21</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35.95</w:t>
            </w:r>
          </w:p>
        </w:tc>
      </w:tr>
      <w:tr w:rsidR="000C3BC0" w:rsidRPr="001A33BF" w:rsidTr="000C3BC0">
        <w:trPr>
          <w:trHeight w:val="300"/>
        </w:trPr>
        <w:tc>
          <w:tcPr>
            <w:tcW w:w="694" w:type="pct"/>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SEPTIEMBRE</w:t>
            </w:r>
          </w:p>
        </w:tc>
        <w:tc>
          <w:tcPr>
            <w:tcW w:w="103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3,846.7 </w:t>
            </w:r>
          </w:p>
        </w:tc>
        <w:tc>
          <w:tcPr>
            <w:tcW w:w="826"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10.0 </w:t>
            </w:r>
          </w:p>
        </w:tc>
        <w:tc>
          <w:tcPr>
            <w:tcW w:w="922"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26.8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0.2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36.9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OCTUBRE</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3,836.70</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9.32</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25.08</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0.14</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34.54</w:t>
            </w:r>
          </w:p>
        </w:tc>
      </w:tr>
      <w:tr w:rsidR="000C3BC0" w:rsidRPr="001A33BF" w:rsidTr="000C3BC0">
        <w:trPr>
          <w:trHeight w:val="300"/>
        </w:trPr>
        <w:tc>
          <w:tcPr>
            <w:tcW w:w="694" w:type="pct"/>
            <w:tcBorders>
              <w:top w:val="nil"/>
              <w:left w:val="single" w:sz="8" w:space="0" w:color="auto"/>
              <w:bottom w:val="single" w:sz="4" w:space="0" w:color="auto"/>
              <w:right w:val="single" w:sz="4" w:space="0" w:color="auto"/>
            </w:tcBorders>
            <w:shd w:val="clear" w:color="000000" w:fill="F2F2F2"/>
            <w:vAlign w:val="center"/>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NOVIEMBRE</w:t>
            </w:r>
          </w:p>
        </w:tc>
        <w:tc>
          <w:tcPr>
            <w:tcW w:w="103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3,827.4 </w:t>
            </w:r>
          </w:p>
        </w:tc>
        <w:tc>
          <w:tcPr>
            <w:tcW w:w="826"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9.2 </w:t>
            </w:r>
          </w:p>
        </w:tc>
        <w:tc>
          <w:tcPr>
            <w:tcW w:w="922"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26.6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0.1 </w:t>
            </w:r>
          </w:p>
        </w:tc>
        <w:tc>
          <w:tcPr>
            <w:tcW w:w="76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 xml:space="preserve">                                                    35.9 </w:t>
            </w:r>
          </w:p>
        </w:tc>
      </w:tr>
      <w:tr w:rsidR="006E1868" w:rsidRPr="001A33BF" w:rsidTr="000C3BC0">
        <w:trPr>
          <w:trHeight w:val="300"/>
        </w:trPr>
        <w:tc>
          <w:tcPr>
            <w:tcW w:w="694" w:type="pct"/>
            <w:tcBorders>
              <w:top w:val="nil"/>
              <w:left w:val="single" w:sz="8" w:space="0" w:color="auto"/>
              <w:bottom w:val="single" w:sz="4" w:space="0" w:color="auto"/>
              <w:right w:val="single" w:sz="4" w:space="0" w:color="auto"/>
            </w:tcBorders>
            <w:shd w:val="clear" w:color="auto" w:fill="auto"/>
            <w:vAlign w:val="center"/>
            <w:hideMark/>
          </w:tcPr>
          <w:p w:rsidR="006E1868" w:rsidRPr="001A33BF" w:rsidRDefault="006E1868" w:rsidP="000C3BC0">
            <w:pPr>
              <w:rPr>
                <w:rFonts w:ascii="Barlow Medium" w:eastAsia="Times New Roman" w:hAnsi="Barlow Medium" w:cs="Calibri"/>
                <w:bCs/>
                <w:sz w:val="20"/>
                <w:szCs w:val="20"/>
                <w:lang w:val="es-MX" w:eastAsia="es-MX"/>
              </w:rPr>
            </w:pPr>
            <w:r w:rsidRPr="001A33BF">
              <w:rPr>
                <w:rFonts w:ascii="Barlow Medium" w:eastAsia="Times New Roman" w:hAnsi="Barlow Medium" w:cs="Calibri"/>
                <w:bCs/>
                <w:sz w:val="20"/>
                <w:szCs w:val="20"/>
                <w:lang w:val="es-MX" w:eastAsia="es-MX"/>
              </w:rPr>
              <w:t>DICIEMBRE</w:t>
            </w:r>
          </w:p>
        </w:tc>
        <w:tc>
          <w:tcPr>
            <w:tcW w:w="103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3,818.21</w:t>
            </w:r>
          </w:p>
        </w:tc>
        <w:tc>
          <w:tcPr>
            <w:tcW w:w="826"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10.02</w:t>
            </w:r>
          </w:p>
        </w:tc>
        <w:tc>
          <w:tcPr>
            <w:tcW w:w="922"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25.99</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0.28</w:t>
            </w:r>
          </w:p>
        </w:tc>
        <w:tc>
          <w:tcPr>
            <w:tcW w:w="76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36.29</w:t>
            </w:r>
          </w:p>
        </w:tc>
      </w:tr>
      <w:tr w:rsidR="006E1868" w:rsidRPr="001A33BF" w:rsidTr="000C3BC0">
        <w:trPr>
          <w:trHeight w:val="315"/>
        </w:trPr>
        <w:tc>
          <w:tcPr>
            <w:tcW w:w="69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TOTAL</w:t>
            </w:r>
          </w:p>
        </w:tc>
        <w:tc>
          <w:tcPr>
            <w:tcW w:w="103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 </w:t>
            </w:r>
          </w:p>
        </w:tc>
        <w:tc>
          <w:tcPr>
            <w:tcW w:w="826"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120.2</w:t>
            </w:r>
          </w:p>
        </w:tc>
        <w:tc>
          <w:tcPr>
            <w:tcW w:w="922"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350.8</w:t>
            </w:r>
          </w:p>
        </w:tc>
        <w:tc>
          <w:tcPr>
            <w:tcW w:w="76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14.1</w:t>
            </w:r>
          </w:p>
        </w:tc>
        <w:tc>
          <w:tcPr>
            <w:tcW w:w="76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485.2</w:t>
            </w:r>
          </w:p>
        </w:tc>
      </w:tr>
    </w:tbl>
    <w:p w:rsidR="006E1868" w:rsidRPr="001A33BF" w:rsidRDefault="006E1868" w:rsidP="006E1868">
      <w:pPr>
        <w:rPr>
          <w:rFonts w:ascii="Barlow Medium" w:hAnsi="Barlow Medium"/>
          <w:sz w:val="20"/>
          <w:szCs w:val="20"/>
        </w:rPr>
      </w:pPr>
    </w:p>
    <w:p w:rsidR="006E1868" w:rsidRPr="001A33BF" w:rsidRDefault="006E1868" w:rsidP="006E1868">
      <w:pPr>
        <w:rPr>
          <w:rFonts w:ascii="Barlow Medium" w:hAnsi="Barlow Medium"/>
          <w:sz w:val="20"/>
          <w:szCs w:val="20"/>
        </w:rPr>
      </w:pPr>
      <w:r w:rsidRPr="001A33BF">
        <w:rPr>
          <w:rFonts w:ascii="Barlow Medium" w:hAnsi="Barlow Medium"/>
          <w:sz w:val="20"/>
          <w:szCs w:val="20"/>
        </w:rPr>
        <w:br w:type="page"/>
      </w:r>
    </w:p>
    <w:p w:rsidR="006E1868" w:rsidRPr="001A33BF" w:rsidRDefault="006E1868" w:rsidP="006E1868">
      <w:pPr>
        <w:rPr>
          <w:rFonts w:ascii="Barlow Medium" w:hAnsi="Barlow Medium"/>
          <w:sz w:val="20"/>
          <w:szCs w:val="20"/>
        </w:rPr>
      </w:pPr>
    </w:p>
    <w:tbl>
      <w:tblPr>
        <w:tblW w:w="5000" w:type="pct"/>
        <w:tblCellMar>
          <w:left w:w="70" w:type="dxa"/>
          <w:right w:w="70" w:type="dxa"/>
        </w:tblCellMar>
        <w:tblLook w:val="04A0"/>
      </w:tblPr>
      <w:tblGrid>
        <w:gridCol w:w="1429"/>
        <w:gridCol w:w="2630"/>
        <w:gridCol w:w="1517"/>
        <w:gridCol w:w="1117"/>
        <w:gridCol w:w="1117"/>
        <w:gridCol w:w="1117"/>
        <w:gridCol w:w="1117"/>
      </w:tblGrid>
      <w:tr w:rsidR="006E1868" w:rsidRPr="001A33BF" w:rsidTr="000C3BC0">
        <w:trPr>
          <w:trHeight w:val="300"/>
        </w:trPr>
        <w:tc>
          <w:tcPr>
            <w:tcW w:w="1564" w:type="pct"/>
            <w:gridSpan w:val="2"/>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p>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5c  PRESUPUESTO DE LA DEUDA PÚBLICA 2018</w:t>
            </w:r>
          </w:p>
        </w:tc>
        <w:tc>
          <w:tcPr>
            <w:tcW w:w="65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p>
        </w:tc>
        <w:tc>
          <w:tcPr>
            <w:tcW w:w="800"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r>
      <w:tr w:rsidR="006E1868" w:rsidRPr="001A33BF" w:rsidTr="000C3BC0">
        <w:trPr>
          <w:trHeight w:val="300"/>
        </w:trPr>
        <w:tc>
          <w:tcPr>
            <w:tcW w:w="550" w:type="pct"/>
            <w:tcBorders>
              <w:top w:val="nil"/>
              <w:left w:val="nil"/>
              <w:bottom w:val="nil"/>
              <w:right w:val="nil"/>
            </w:tcBorders>
            <w:shd w:val="clear" w:color="auto" w:fill="auto"/>
            <w:noWrap/>
            <w:vAlign w:val="bottom"/>
            <w:hideMark/>
          </w:tcPr>
          <w:p w:rsidR="006E1868" w:rsidRPr="001A33BF" w:rsidRDefault="006E1868" w:rsidP="000C3BC0">
            <w:pPr>
              <w:jc w:val="center"/>
              <w:rPr>
                <w:rFonts w:ascii="Barlow Medium" w:eastAsia="Times New Roman" w:hAnsi="Barlow Medium" w:cs="Times New Roman"/>
                <w:sz w:val="20"/>
                <w:szCs w:val="20"/>
                <w:lang w:val="es-MX" w:eastAsia="es-MX"/>
              </w:rPr>
            </w:pPr>
          </w:p>
        </w:tc>
        <w:tc>
          <w:tcPr>
            <w:tcW w:w="1014"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800"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c>
          <w:tcPr>
            <w:tcW w:w="659" w:type="pct"/>
            <w:tcBorders>
              <w:top w:val="nil"/>
              <w:left w:val="nil"/>
              <w:bottom w:val="nil"/>
              <w:right w:val="nil"/>
            </w:tcBorders>
            <w:shd w:val="clear" w:color="auto" w:fill="auto"/>
            <w:noWrap/>
            <w:vAlign w:val="bottom"/>
            <w:hideMark/>
          </w:tcPr>
          <w:p w:rsidR="006E1868" w:rsidRPr="001A33BF" w:rsidRDefault="006E1868" w:rsidP="000C3BC0">
            <w:pPr>
              <w:rPr>
                <w:rFonts w:ascii="Barlow Medium" w:eastAsia="Times New Roman" w:hAnsi="Barlow Medium" w:cs="Times New Roman"/>
                <w:sz w:val="20"/>
                <w:szCs w:val="20"/>
                <w:lang w:val="es-MX" w:eastAsia="es-MX"/>
              </w:rPr>
            </w:pPr>
          </w:p>
        </w:tc>
      </w:tr>
      <w:tr w:rsidR="006E1868" w:rsidRPr="001A33BF" w:rsidTr="000C3BC0">
        <w:trPr>
          <w:trHeight w:val="600"/>
        </w:trPr>
        <w:tc>
          <w:tcPr>
            <w:tcW w:w="55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PARTIDA</w:t>
            </w:r>
          </w:p>
        </w:tc>
        <w:tc>
          <w:tcPr>
            <w:tcW w:w="1014"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CONCEPTO</w:t>
            </w:r>
          </w:p>
        </w:tc>
        <w:tc>
          <w:tcPr>
            <w:tcW w:w="65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ASIGNACIÓN</w:t>
            </w:r>
            <w:r w:rsidRPr="001A33BF">
              <w:rPr>
                <w:rFonts w:ascii="Barlow Medium" w:eastAsia="Times New Roman" w:hAnsi="Barlow Medium" w:cs="Calibri"/>
                <w:bCs/>
                <w:color w:val="FFFFFF"/>
                <w:sz w:val="20"/>
                <w:szCs w:val="20"/>
                <w:lang w:val="es-MX" w:eastAsia="es-MX"/>
              </w:rPr>
              <w:br/>
              <w:t>PRESUPUESTAL</w:t>
            </w:r>
          </w:p>
        </w:tc>
        <w:tc>
          <w:tcPr>
            <w:tcW w:w="800"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PRIMER </w:t>
            </w:r>
            <w:r w:rsidRPr="001A33BF">
              <w:rPr>
                <w:rFonts w:ascii="Barlow Medium" w:eastAsia="Times New Roman" w:hAnsi="Barlow Medium" w:cs="Calibri"/>
                <w:bCs/>
                <w:color w:val="FFFFFF"/>
                <w:sz w:val="20"/>
                <w:szCs w:val="20"/>
                <w:lang w:val="es-MX" w:eastAsia="es-MX"/>
              </w:rPr>
              <w:br/>
              <w:t>TRIMESTRE</w:t>
            </w:r>
          </w:p>
        </w:tc>
        <w:tc>
          <w:tcPr>
            <w:tcW w:w="65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 xml:space="preserve">SEGUNDO </w:t>
            </w:r>
            <w:r w:rsidRPr="001A33BF">
              <w:rPr>
                <w:rFonts w:ascii="Barlow Medium" w:eastAsia="Times New Roman" w:hAnsi="Barlow Medium" w:cs="Calibri"/>
                <w:bCs/>
                <w:color w:val="FFFFFF"/>
                <w:sz w:val="20"/>
                <w:szCs w:val="20"/>
                <w:lang w:val="es-MX" w:eastAsia="es-MX"/>
              </w:rPr>
              <w:br/>
              <w:t>TRIMESTRE</w:t>
            </w:r>
          </w:p>
        </w:tc>
        <w:tc>
          <w:tcPr>
            <w:tcW w:w="65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TERCER</w:t>
            </w:r>
            <w:r w:rsidRPr="001A33BF">
              <w:rPr>
                <w:rFonts w:ascii="Barlow Medium" w:eastAsia="Times New Roman" w:hAnsi="Barlow Medium" w:cs="Calibri"/>
                <w:bCs/>
                <w:color w:val="FFFFFF"/>
                <w:sz w:val="20"/>
                <w:szCs w:val="20"/>
                <w:lang w:val="es-MX" w:eastAsia="es-MX"/>
              </w:rPr>
              <w:br/>
              <w:t>TRIMESTRE</w:t>
            </w:r>
          </w:p>
        </w:tc>
        <w:tc>
          <w:tcPr>
            <w:tcW w:w="659" w:type="pct"/>
            <w:tcBorders>
              <w:top w:val="single" w:sz="4" w:space="0" w:color="000000"/>
              <w:left w:val="single" w:sz="4" w:space="0" w:color="000000"/>
              <w:bottom w:val="nil"/>
              <w:right w:val="nil"/>
            </w:tcBorders>
            <w:shd w:val="clear" w:color="000000" w:fill="16365C"/>
            <w:vAlign w:val="center"/>
            <w:hideMark/>
          </w:tcPr>
          <w:p w:rsidR="006E1868" w:rsidRPr="001A33BF" w:rsidRDefault="006E1868" w:rsidP="000C3BC0">
            <w:pPr>
              <w:jc w:val="center"/>
              <w:rPr>
                <w:rFonts w:ascii="Barlow Medium" w:eastAsia="Times New Roman" w:hAnsi="Barlow Medium" w:cs="Calibri"/>
                <w:bCs/>
                <w:color w:val="FFFFFF"/>
                <w:sz w:val="20"/>
                <w:szCs w:val="20"/>
                <w:lang w:val="es-MX" w:eastAsia="es-MX"/>
              </w:rPr>
            </w:pPr>
            <w:r w:rsidRPr="001A33BF">
              <w:rPr>
                <w:rFonts w:ascii="Barlow Medium" w:eastAsia="Times New Roman" w:hAnsi="Barlow Medium" w:cs="Calibri"/>
                <w:bCs/>
                <w:color w:val="FFFFFF"/>
                <w:sz w:val="20"/>
                <w:szCs w:val="20"/>
                <w:lang w:val="es-MX" w:eastAsia="es-MX"/>
              </w:rPr>
              <w:t>CUARTO</w:t>
            </w:r>
            <w:r w:rsidRPr="001A33BF">
              <w:rPr>
                <w:rFonts w:ascii="Barlow Medium" w:eastAsia="Times New Roman" w:hAnsi="Barlow Medium" w:cs="Calibri"/>
                <w:bCs/>
                <w:color w:val="FFFFFF"/>
                <w:sz w:val="20"/>
                <w:szCs w:val="20"/>
                <w:lang w:val="es-MX" w:eastAsia="es-MX"/>
              </w:rPr>
              <w:br/>
              <w:t>TRIMESTRE</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000000" w:fill="F2F2F2"/>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9100</w:t>
            </w:r>
          </w:p>
        </w:tc>
        <w:tc>
          <w:tcPr>
            <w:tcW w:w="1014" w:type="pct"/>
            <w:tcBorders>
              <w:top w:val="nil"/>
              <w:left w:val="nil"/>
              <w:bottom w:val="single" w:sz="4" w:space="0" w:color="auto"/>
              <w:right w:val="nil"/>
            </w:tcBorders>
            <w:shd w:val="clear" w:color="000000" w:fill="F2F2F2"/>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AMORTIZACIÓN DE LA DEUDA PÚBLICA</w:t>
            </w:r>
          </w:p>
        </w:tc>
        <w:tc>
          <w:tcPr>
            <w:tcW w:w="659" w:type="pct"/>
            <w:tcBorders>
              <w:top w:val="single" w:sz="4" w:space="0" w:color="auto"/>
              <w:left w:val="single" w:sz="4" w:space="0" w:color="auto"/>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120.2</w:t>
            </w:r>
          </w:p>
        </w:tc>
        <w:tc>
          <w:tcPr>
            <w:tcW w:w="800"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33.7</w:t>
            </w:r>
          </w:p>
        </w:tc>
        <w:tc>
          <w:tcPr>
            <w:tcW w:w="659"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30.1</w:t>
            </w:r>
          </w:p>
        </w:tc>
        <w:tc>
          <w:tcPr>
            <w:tcW w:w="659"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27.9</w:t>
            </w:r>
          </w:p>
        </w:tc>
        <w:tc>
          <w:tcPr>
            <w:tcW w:w="659" w:type="pct"/>
            <w:tcBorders>
              <w:top w:val="single" w:sz="4" w:space="0" w:color="auto"/>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28.5</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auto" w:fill="auto"/>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9200</w:t>
            </w:r>
          </w:p>
        </w:tc>
        <w:tc>
          <w:tcPr>
            <w:tcW w:w="1014" w:type="pct"/>
            <w:tcBorders>
              <w:top w:val="nil"/>
              <w:left w:val="nil"/>
              <w:bottom w:val="single" w:sz="4" w:space="0" w:color="auto"/>
              <w:right w:val="nil"/>
            </w:tcBorders>
            <w:shd w:val="clear" w:color="auto" w:fill="auto"/>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INTERESES DE LA DEUDA PÚBLICA</w:t>
            </w:r>
          </w:p>
        </w:tc>
        <w:tc>
          <w:tcPr>
            <w:tcW w:w="659" w:type="pct"/>
            <w:tcBorders>
              <w:top w:val="nil"/>
              <w:left w:val="single" w:sz="4" w:space="0" w:color="auto"/>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350.8</w:t>
            </w:r>
          </w:p>
        </w:tc>
        <w:tc>
          <w:tcPr>
            <w:tcW w:w="80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105.2</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87.4</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80.6</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77.7</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000000" w:fill="F2F2F2"/>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9300</w:t>
            </w:r>
          </w:p>
        </w:tc>
        <w:tc>
          <w:tcPr>
            <w:tcW w:w="1014" w:type="pct"/>
            <w:tcBorders>
              <w:top w:val="nil"/>
              <w:left w:val="nil"/>
              <w:bottom w:val="single" w:sz="4" w:space="0" w:color="auto"/>
              <w:right w:val="nil"/>
            </w:tcBorders>
            <w:shd w:val="clear" w:color="000000" w:fill="F2F2F2"/>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COMISIONES DE LA DEUDA PÚBLICA</w:t>
            </w:r>
          </w:p>
        </w:tc>
        <w:tc>
          <w:tcPr>
            <w:tcW w:w="659" w:type="pct"/>
            <w:tcBorders>
              <w:top w:val="nil"/>
              <w:left w:val="single" w:sz="4" w:space="0" w:color="auto"/>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80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auto" w:fill="auto"/>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9400</w:t>
            </w:r>
          </w:p>
        </w:tc>
        <w:tc>
          <w:tcPr>
            <w:tcW w:w="1014" w:type="pct"/>
            <w:tcBorders>
              <w:top w:val="nil"/>
              <w:left w:val="nil"/>
              <w:bottom w:val="single" w:sz="4" w:space="0" w:color="auto"/>
              <w:right w:val="nil"/>
            </w:tcBorders>
            <w:shd w:val="clear" w:color="auto" w:fill="auto"/>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GASTOS DE LA DEUDA PÚBLICA</w:t>
            </w:r>
          </w:p>
        </w:tc>
        <w:tc>
          <w:tcPr>
            <w:tcW w:w="659" w:type="pct"/>
            <w:tcBorders>
              <w:top w:val="nil"/>
              <w:left w:val="single" w:sz="4" w:space="0" w:color="auto"/>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80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000000" w:fill="F2F2F2"/>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9500</w:t>
            </w:r>
          </w:p>
        </w:tc>
        <w:tc>
          <w:tcPr>
            <w:tcW w:w="1014" w:type="pct"/>
            <w:tcBorders>
              <w:top w:val="nil"/>
              <w:left w:val="nil"/>
              <w:bottom w:val="single" w:sz="4" w:space="0" w:color="auto"/>
              <w:right w:val="nil"/>
            </w:tcBorders>
            <w:shd w:val="clear" w:color="000000" w:fill="F2F2F2"/>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COSTO POR COBERTURAS</w:t>
            </w:r>
          </w:p>
        </w:tc>
        <w:tc>
          <w:tcPr>
            <w:tcW w:w="659" w:type="pct"/>
            <w:tcBorders>
              <w:top w:val="nil"/>
              <w:left w:val="single" w:sz="4" w:space="0" w:color="auto"/>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14.1</w:t>
            </w:r>
          </w:p>
        </w:tc>
        <w:tc>
          <w:tcPr>
            <w:tcW w:w="80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12.1</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0.9</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0.6</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0.5</w:t>
            </w:r>
          </w:p>
        </w:tc>
      </w:tr>
      <w:tr w:rsidR="006E1868" w:rsidRPr="001A33BF" w:rsidTr="000C3BC0">
        <w:trPr>
          <w:trHeight w:val="300"/>
        </w:trPr>
        <w:tc>
          <w:tcPr>
            <w:tcW w:w="550" w:type="pct"/>
            <w:tcBorders>
              <w:top w:val="nil"/>
              <w:left w:val="single" w:sz="8" w:space="0" w:color="auto"/>
              <w:bottom w:val="single" w:sz="4" w:space="0" w:color="auto"/>
              <w:right w:val="single" w:sz="8" w:space="0" w:color="auto"/>
            </w:tcBorders>
            <w:shd w:val="clear" w:color="auto" w:fill="auto"/>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9600</w:t>
            </w:r>
          </w:p>
        </w:tc>
        <w:tc>
          <w:tcPr>
            <w:tcW w:w="1014" w:type="pct"/>
            <w:tcBorders>
              <w:top w:val="nil"/>
              <w:left w:val="nil"/>
              <w:bottom w:val="single" w:sz="4" w:space="0" w:color="auto"/>
              <w:right w:val="nil"/>
            </w:tcBorders>
            <w:shd w:val="clear" w:color="auto" w:fill="auto"/>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APOYOS FINANCIEROS</w:t>
            </w:r>
          </w:p>
        </w:tc>
        <w:tc>
          <w:tcPr>
            <w:tcW w:w="659" w:type="pct"/>
            <w:tcBorders>
              <w:top w:val="nil"/>
              <w:left w:val="single" w:sz="4" w:space="0" w:color="auto"/>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800"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c>
          <w:tcPr>
            <w:tcW w:w="659" w:type="pct"/>
            <w:tcBorders>
              <w:top w:val="nil"/>
              <w:left w:val="nil"/>
              <w:bottom w:val="single" w:sz="4" w:space="0" w:color="auto"/>
              <w:right w:val="single" w:sz="4" w:space="0" w:color="auto"/>
            </w:tcBorders>
            <w:shd w:val="clear" w:color="auto" w:fill="auto"/>
            <w:vAlign w:val="center"/>
            <w:hideMark/>
          </w:tcPr>
          <w:p w:rsidR="006E1868" w:rsidRPr="001A33BF" w:rsidRDefault="006E1868" w:rsidP="000C3BC0">
            <w:pPr>
              <w:jc w:val="right"/>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0.0</w:t>
            </w:r>
          </w:p>
        </w:tc>
      </w:tr>
      <w:tr w:rsidR="006E1868" w:rsidRPr="001A33BF" w:rsidTr="000C3BC0">
        <w:trPr>
          <w:trHeight w:val="600"/>
        </w:trPr>
        <w:tc>
          <w:tcPr>
            <w:tcW w:w="550" w:type="pct"/>
            <w:tcBorders>
              <w:top w:val="nil"/>
              <w:left w:val="single" w:sz="8" w:space="0" w:color="auto"/>
              <w:bottom w:val="single" w:sz="4" w:space="0" w:color="auto"/>
              <w:right w:val="single" w:sz="8" w:space="0" w:color="auto"/>
            </w:tcBorders>
            <w:shd w:val="clear" w:color="000000" w:fill="F2F2F2"/>
            <w:noWrap/>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9900</w:t>
            </w:r>
          </w:p>
        </w:tc>
        <w:tc>
          <w:tcPr>
            <w:tcW w:w="1014" w:type="pct"/>
            <w:tcBorders>
              <w:top w:val="nil"/>
              <w:left w:val="nil"/>
              <w:bottom w:val="single" w:sz="4" w:space="0" w:color="auto"/>
              <w:right w:val="nil"/>
            </w:tcBorders>
            <w:shd w:val="clear" w:color="000000" w:fill="F2F2F2"/>
            <w:vAlign w:val="center"/>
            <w:hideMark/>
          </w:tcPr>
          <w:p w:rsidR="006E1868" w:rsidRPr="001A33BF" w:rsidRDefault="006E1868" w:rsidP="000C3BC0">
            <w:pPr>
              <w:rPr>
                <w:rFonts w:ascii="Barlow Medium" w:eastAsia="Times New Roman" w:hAnsi="Barlow Medium" w:cs="Calibri"/>
                <w:sz w:val="20"/>
                <w:szCs w:val="20"/>
                <w:lang w:val="es-MX" w:eastAsia="es-MX"/>
              </w:rPr>
            </w:pPr>
            <w:r w:rsidRPr="001A33BF">
              <w:rPr>
                <w:rFonts w:ascii="Barlow Medium" w:eastAsia="Times New Roman" w:hAnsi="Barlow Medium" w:cs="Calibri"/>
                <w:sz w:val="20"/>
                <w:szCs w:val="20"/>
                <w:lang w:val="es-MX" w:eastAsia="es-MX"/>
              </w:rPr>
              <w:t>ADEUDOS DE EJERCICIOS FISCALES</w:t>
            </w:r>
            <w:r w:rsidRPr="001A33BF">
              <w:rPr>
                <w:rFonts w:ascii="Barlow Medium" w:eastAsia="Times New Roman" w:hAnsi="Barlow Medium" w:cs="Calibri"/>
                <w:sz w:val="20"/>
                <w:szCs w:val="20"/>
                <w:lang w:val="es-MX" w:eastAsia="es-MX"/>
              </w:rPr>
              <w:br/>
              <w:t>ANTERIORES (ADEFAS)</w:t>
            </w:r>
          </w:p>
        </w:tc>
        <w:tc>
          <w:tcPr>
            <w:tcW w:w="659" w:type="pct"/>
            <w:tcBorders>
              <w:top w:val="nil"/>
              <w:left w:val="single" w:sz="4" w:space="0" w:color="auto"/>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800"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c>
          <w:tcPr>
            <w:tcW w:w="659" w:type="pct"/>
            <w:tcBorders>
              <w:top w:val="nil"/>
              <w:left w:val="nil"/>
              <w:bottom w:val="single" w:sz="4" w:space="0" w:color="auto"/>
              <w:right w:val="single" w:sz="4" w:space="0" w:color="auto"/>
            </w:tcBorders>
            <w:shd w:val="clear" w:color="000000" w:fill="F2F2F2"/>
            <w:vAlign w:val="center"/>
            <w:hideMark/>
          </w:tcPr>
          <w:p w:rsidR="006E1868" w:rsidRPr="001A33BF" w:rsidRDefault="006E1868" w:rsidP="000C3BC0">
            <w:pPr>
              <w:jc w:val="right"/>
              <w:rPr>
                <w:rFonts w:ascii="Barlow Medium" w:eastAsia="Times New Roman" w:hAnsi="Barlow Medium" w:cs="Calibri"/>
                <w:color w:val="000000"/>
                <w:sz w:val="20"/>
                <w:szCs w:val="20"/>
                <w:lang w:val="es-MX" w:eastAsia="es-MX"/>
              </w:rPr>
            </w:pPr>
            <w:r w:rsidRPr="001A33BF">
              <w:rPr>
                <w:rFonts w:ascii="Barlow Medium" w:eastAsia="Times New Roman" w:hAnsi="Barlow Medium" w:cs="Calibri"/>
                <w:color w:val="000000"/>
                <w:sz w:val="20"/>
                <w:szCs w:val="20"/>
                <w:lang w:val="es-MX" w:eastAsia="es-MX"/>
              </w:rPr>
              <w:t>0.0</w:t>
            </w:r>
          </w:p>
        </w:tc>
      </w:tr>
      <w:tr w:rsidR="006E1868" w:rsidRPr="001A33BF" w:rsidTr="000C3BC0">
        <w:trPr>
          <w:trHeight w:val="315"/>
        </w:trPr>
        <w:tc>
          <w:tcPr>
            <w:tcW w:w="550" w:type="pct"/>
            <w:tcBorders>
              <w:top w:val="nil"/>
              <w:left w:val="nil"/>
              <w:bottom w:val="nil"/>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color w:val="000000"/>
                <w:sz w:val="20"/>
                <w:szCs w:val="20"/>
                <w:lang w:val="es-MX" w:eastAsia="es-MX"/>
              </w:rPr>
            </w:pPr>
          </w:p>
        </w:tc>
        <w:tc>
          <w:tcPr>
            <w:tcW w:w="1014"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TOTAL</w:t>
            </w:r>
          </w:p>
        </w:tc>
        <w:tc>
          <w:tcPr>
            <w:tcW w:w="65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485.2</w:t>
            </w:r>
          </w:p>
        </w:tc>
        <w:tc>
          <w:tcPr>
            <w:tcW w:w="800"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151.0</w:t>
            </w:r>
          </w:p>
        </w:tc>
        <w:tc>
          <w:tcPr>
            <w:tcW w:w="65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118.5</w:t>
            </w:r>
          </w:p>
        </w:tc>
        <w:tc>
          <w:tcPr>
            <w:tcW w:w="65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109.0</w:t>
            </w:r>
          </w:p>
        </w:tc>
        <w:tc>
          <w:tcPr>
            <w:tcW w:w="659" w:type="pct"/>
            <w:tcBorders>
              <w:top w:val="single" w:sz="4" w:space="0" w:color="366092"/>
              <w:left w:val="nil"/>
              <w:bottom w:val="single" w:sz="8" w:space="0" w:color="366092"/>
              <w:right w:val="nil"/>
            </w:tcBorders>
            <w:shd w:val="clear" w:color="auto" w:fill="auto"/>
            <w:noWrap/>
            <w:vAlign w:val="bottom"/>
            <w:hideMark/>
          </w:tcPr>
          <w:p w:rsidR="006E1868" w:rsidRPr="001A33BF" w:rsidRDefault="006E1868" w:rsidP="000C3BC0">
            <w:pPr>
              <w:jc w:val="right"/>
              <w:rPr>
                <w:rFonts w:ascii="Barlow Medium" w:eastAsia="Times New Roman" w:hAnsi="Barlow Medium" w:cs="Calibri"/>
                <w:bCs/>
                <w:color w:val="000000"/>
                <w:sz w:val="20"/>
                <w:szCs w:val="20"/>
                <w:lang w:val="es-MX" w:eastAsia="es-MX"/>
              </w:rPr>
            </w:pPr>
            <w:r w:rsidRPr="001A33BF">
              <w:rPr>
                <w:rFonts w:ascii="Barlow Medium" w:eastAsia="Times New Roman" w:hAnsi="Barlow Medium" w:cs="Calibri"/>
                <w:bCs/>
                <w:color w:val="000000"/>
                <w:sz w:val="20"/>
                <w:szCs w:val="20"/>
                <w:lang w:val="es-MX" w:eastAsia="es-MX"/>
              </w:rPr>
              <w:t>106.7</w:t>
            </w:r>
          </w:p>
        </w:tc>
      </w:tr>
    </w:tbl>
    <w:p w:rsidR="006E1868" w:rsidRPr="001A33BF" w:rsidRDefault="006E1868" w:rsidP="006E1868">
      <w:pPr>
        <w:rPr>
          <w:rFonts w:ascii="Barlow Medium" w:hAnsi="Barlow Medium"/>
          <w:sz w:val="20"/>
          <w:szCs w:val="20"/>
        </w:rPr>
      </w:pPr>
    </w:p>
    <w:p w:rsidR="006E1868" w:rsidRDefault="006E1868" w:rsidP="001700E7">
      <w:pPr>
        <w:spacing w:before="120" w:line="276" w:lineRule="auto"/>
        <w:jc w:val="both"/>
        <w:rPr>
          <w:rFonts w:ascii="Barlow Medium" w:eastAsiaTheme="minorHAnsi" w:hAnsi="Barlow Medium" w:cs="Arial"/>
          <w:color w:val="000000"/>
          <w:lang w:val="es-ES" w:eastAsia="en-US"/>
        </w:rPr>
      </w:pPr>
    </w:p>
    <w:p w:rsidR="006E1868" w:rsidRDefault="006E1868" w:rsidP="001700E7">
      <w:pPr>
        <w:spacing w:before="120" w:line="276" w:lineRule="auto"/>
        <w:jc w:val="both"/>
        <w:rPr>
          <w:rFonts w:ascii="Barlow Medium" w:eastAsiaTheme="minorHAnsi" w:hAnsi="Barlow Medium" w:cs="Arial"/>
          <w:color w:val="000000"/>
          <w:lang w:val="es-ES" w:eastAsia="en-US"/>
        </w:rPr>
      </w:pPr>
    </w:p>
    <w:p w:rsidR="006E1868" w:rsidRDefault="006E1868" w:rsidP="001700E7">
      <w:pPr>
        <w:spacing w:before="120" w:line="276" w:lineRule="auto"/>
        <w:jc w:val="both"/>
        <w:rPr>
          <w:rFonts w:ascii="Barlow Medium" w:eastAsiaTheme="minorHAnsi" w:hAnsi="Barlow Medium" w:cs="Arial"/>
          <w:color w:val="000000"/>
          <w:lang w:val="es-ES" w:eastAsia="en-US"/>
        </w:rPr>
      </w:pPr>
    </w:p>
    <w:tbl>
      <w:tblPr>
        <w:tblW w:w="9988" w:type="dxa"/>
        <w:tblCellMar>
          <w:left w:w="70" w:type="dxa"/>
          <w:right w:w="70" w:type="dxa"/>
        </w:tblCellMar>
        <w:tblLook w:val="04A0"/>
      </w:tblPr>
      <w:tblGrid>
        <w:gridCol w:w="6540"/>
        <w:gridCol w:w="3448"/>
      </w:tblGrid>
      <w:tr w:rsidR="000C3BC0" w:rsidRPr="00914237" w:rsidTr="000C3BC0">
        <w:trPr>
          <w:trHeight w:val="341"/>
        </w:trPr>
        <w:tc>
          <w:tcPr>
            <w:tcW w:w="9988" w:type="dxa"/>
            <w:gridSpan w:val="2"/>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11a</w:t>
            </w:r>
          </w:p>
        </w:tc>
      </w:tr>
      <w:tr w:rsidR="000C3BC0" w:rsidRPr="00914237" w:rsidTr="000C3BC0">
        <w:trPr>
          <w:trHeight w:val="341"/>
        </w:trPr>
        <w:tc>
          <w:tcPr>
            <w:tcW w:w="9988" w:type="dxa"/>
            <w:gridSpan w:val="2"/>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PRESUPUESTO ASIGNADO A SUBSIDIOS Y SUBVENCIONES</w:t>
            </w:r>
          </w:p>
        </w:tc>
      </w:tr>
      <w:tr w:rsidR="000C3BC0" w:rsidRPr="00914237" w:rsidTr="000C3BC0">
        <w:trPr>
          <w:trHeight w:val="285"/>
        </w:trPr>
        <w:tc>
          <w:tcPr>
            <w:tcW w:w="6540" w:type="dxa"/>
            <w:tcBorders>
              <w:top w:val="nil"/>
              <w:left w:val="nil"/>
              <w:bottom w:val="nil"/>
              <w:right w:val="nil"/>
            </w:tcBorders>
            <w:shd w:val="clear" w:color="000000" w:fill="FFFFFF"/>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w:t>
            </w:r>
          </w:p>
        </w:tc>
        <w:tc>
          <w:tcPr>
            <w:tcW w:w="3448" w:type="dxa"/>
            <w:tcBorders>
              <w:top w:val="nil"/>
              <w:left w:val="nil"/>
              <w:bottom w:val="nil"/>
              <w:right w:val="nil"/>
            </w:tcBorders>
            <w:shd w:val="clear" w:color="000000" w:fill="FFFFFF"/>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w:t>
            </w:r>
          </w:p>
        </w:tc>
      </w:tr>
      <w:tr w:rsidR="000C3BC0" w:rsidRPr="00914237" w:rsidTr="000C3BC0">
        <w:trPr>
          <w:trHeight w:val="645"/>
        </w:trPr>
        <w:tc>
          <w:tcPr>
            <w:tcW w:w="6540"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TRANSFERENCIAS, ASIGNACIONES, SUBSIDIOS Y OTRAS AYUDAS</w:t>
            </w:r>
          </w:p>
        </w:tc>
        <w:tc>
          <w:tcPr>
            <w:tcW w:w="3448"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 xml:space="preserve"> IMPORTE </w:t>
            </w:r>
          </w:p>
        </w:tc>
      </w:tr>
      <w:tr w:rsidR="000C3BC0" w:rsidRPr="00914237" w:rsidTr="000C3BC0">
        <w:trPr>
          <w:trHeight w:val="322"/>
        </w:trPr>
        <w:tc>
          <w:tcPr>
            <w:tcW w:w="6540" w:type="dxa"/>
            <w:tcBorders>
              <w:top w:val="nil"/>
              <w:left w:val="nil"/>
              <w:bottom w:val="nil"/>
              <w:right w:val="nil"/>
            </w:tcBorders>
            <w:shd w:val="clear" w:color="000000" w:fill="F2F2F2"/>
            <w:vAlign w:val="bottom"/>
            <w:hideMark/>
          </w:tcPr>
          <w:p w:rsidR="000C3BC0" w:rsidRPr="00914237" w:rsidRDefault="000C3BC0" w:rsidP="000C3BC0">
            <w:pPr>
              <w:ind w:firstLineChars="200" w:firstLine="482"/>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DONATIVOS A INSTITUCIONES SIN FINES DE LUCRO</w:t>
            </w:r>
          </w:p>
        </w:tc>
        <w:tc>
          <w:tcPr>
            <w:tcW w:w="3448" w:type="dxa"/>
            <w:tcBorders>
              <w:top w:val="nil"/>
              <w:left w:val="nil"/>
              <w:bottom w:val="nil"/>
              <w:right w:val="nil"/>
            </w:tcBorders>
            <w:shd w:val="clear" w:color="000000" w:fill="F2F2F2"/>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Donativo a la Fundación del Empresariado Yucateco Mérida</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15,000,000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Promover la gestión responsable como apoyo a las funciones sustantivas de la UADY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11,457,077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Exposiciones, programas educativos y expresiones multidisciplinarias del Museo de Arte Contemporáneo Ateneo de Yucatán (MACAY)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9,872,406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Apoyo económico a Organizaciones de la Sociedad Civil que tienen por objeto la Asistencia Social</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9,800,000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Sistema de Evaluación del Desempeño</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1,500,000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lastRenderedPageBreak/>
              <w:t>Donativo a la Cruz Roja</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1,500,000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Operación del Consejo de Planeación y Evaluación del Estado de Yucatán</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1,000,000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Programas artísticos de música tradicional yucateca del Museo de la Canción Yucateca</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960,000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Fortalecimiento de los Recursos Financieros del ISSTEY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Administración de los recursos financieros del ISSTEY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300,000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Servicio de esparcimiento en el Centro Vacacional Costa Club ISSTEY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250,000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Proporcionar servicio de guardería a hijos de derechohabientes en los Centros de Desarrollo Infantil</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250,000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Ejecución de Actividades Administrativas para la Operación del Instituto de Seguridad Social de los Trabajadores del Estado de Yucatán</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200,000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Comisión de Derechos Humanos del Estado de Yucatán 2019</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120,611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Fortalecimiento y fomento a las Organizaciones de la Sociedad Civil</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60,000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Venta de productos de consumo en los Centros Comerciales del ISSTEY</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50,000 </w:t>
            </w:r>
          </w:p>
        </w:tc>
      </w:tr>
      <w:tr w:rsidR="000C3BC0" w:rsidRPr="00914237" w:rsidTr="000C3BC0">
        <w:trPr>
          <w:trHeight w:val="645"/>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Administración de los recursos humanos, materiales y financieros del Instituto de Vivienda del Estado de Yucatán.</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36,000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Atender con servicios de  educación superior a alumnos del estado Yucatán</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30,026 </w:t>
            </w:r>
          </w:p>
        </w:tc>
      </w:tr>
      <w:tr w:rsidR="000C3BC0" w:rsidRPr="00914237" w:rsidTr="000C3BC0">
        <w:trPr>
          <w:trHeight w:val="322"/>
        </w:trPr>
        <w:tc>
          <w:tcPr>
            <w:tcW w:w="6540" w:type="dxa"/>
            <w:tcBorders>
              <w:top w:val="nil"/>
              <w:left w:val="nil"/>
              <w:bottom w:val="nil"/>
              <w:right w:val="nil"/>
            </w:tcBorders>
            <w:shd w:val="clear" w:color="auto" w:fill="auto"/>
            <w:vAlign w:val="bottom"/>
            <w:hideMark/>
          </w:tcPr>
          <w:p w:rsidR="000C3BC0" w:rsidRPr="00914237" w:rsidRDefault="000C3BC0" w:rsidP="000C3BC0">
            <w:pPr>
              <w:ind w:firstLineChars="300" w:firstLine="720"/>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Atención de la educación media superior en el estado de Yucatán</w:t>
            </w:r>
          </w:p>
        </w:tc>
        <w:tc>
          <w:tcPr>
            <w:tcW w:w="3448" w:type="dxa"/>
            <w:tcBorders>
              <w:top w:val="nil"/>
              <w:left w:val="nil"/>
              <w:bottom w:val="nil"/>
              <w:right w:val="nil"/>
            </w:tcBorders>
            <w:shd w:val="clear" w:color="auto" w:fill="auto"/>
            <w:noWrap/>
            <w:vAlign w:val="center"/>
            <w:hideMark/>
          </w:tcPr>
          <w:p w:rsidR="000C3BC0" w:rsidRPr="00914237" w:rsidRDefault="000C3BC0" w:rsidP="000C3BC0">
            <w:pPr>
              <w:ind w:firstLineChars="100" w:firstLine="240"/>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10,332 </w:t>
            </w:r>
          </w:p>
        </w:tc>
      </w:tr>
      <w:tr w:rsidR="000C3BC0" w:rsidRPr="00914237" w:rsidTr="000C3BC0">
        <w:trPr>
          <w:trHeight w:val="360"/>
        </w:trPr>
        <w:tc>
          <w:tcPr>
            <w:tcW w:w="6540"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TOTAL</w:t>
            </w:r>
          </w:p>
        </w:tc>
        <w:tc>
          <w:tcPr>
            <w:tcW w:w="3448"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ind w:firstLineChars="500" w:firstLine="1405"/>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52,896,452 </w:t>
            </w:r>
          </w:p>
        </w:tc>
      </w:tr>
    </w:tbl>
    <w:p w:rsidR="000C3BC0" w:rsidRDefault="000C3BC0" w:rsidP="000C3BC0"/>
    <w:p w:rsidR="000C3BC0" w:rsidRDefault="000C3BC0" w:rsidP="000C3BC0"/>
    <w:tbl>
      <w:tblPr>
        <w:tblW w:w="10077" w:type="dxa"/>
        <w:tblCellMar>
          <w:left w:w="70" w:type="dxa"/>
          <w:right w:w="70" w:type="dxa"/>
        </w:tblCellMar>
        <w:tblLook w:val="04A0"/>
      </w:tblPr>
      <w:tblGrid>
        <w:gridCol w:w="7162"/>
        <w:gridCol w:w="2915"/>
      </w:tblGrid>
      <w:tr w:rsidR="000C3BC0" w:rsidRPr="00914237" w:rsidTr="000C3BC0">
        <w:trPr>
          <w:trHeight w:val="374"/>
        </w:trPr>
        <w:tc>
          <w:tcPr>
            <w:tcW w:w="10077" w:type="dxa"/>
            <w:gridSpan w:val="2"/>
            <w:tcBorders>
              <w:top w:val="nil"/>
              <w:left w:val="nil"/>
              <w:bottom w:val="nil"/>
              <w:right w:val="nil"/>
            </w:tcBorders>
            <w:shd w:val="clear" w:color="000000" w:fill="FFFFFF"/>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11b</w:t>
            </w:r>
          </w:p>
        </w:tc>
      </w:tr>
      <w:tr w:rsidR="000C3BC0" w:rsidRPr="00914237" w:rsidTr="000C3BC0">
        <w:trPr>
          <w:trHeight w:val="374"/>
        </w:trPr>
        <w:tc>
          <w:tcPr>
            <w:tcW w:w="10077" w:type="dxa"/>
            <w:gridSpan w:val="2"/>
            <w:tcBorders>
              <w:top w:val="nil"/>
              <w:left w:val="nil"/>
              <w:bottom w:val="nil"/>
              <w:right w:val="nil"/>
            </w:tcBorders>
            <w:shd w:val="clear" w:color="000000" w:fill="FFFFFF"/>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SUBSIDIOS A LA PRODUCCIÓN</w:t>
            </w:r>
          </w:p>
        </w:tc>
      </w:tr>
      <w:tr w:rsidR="000C3BC0" w:rsidRPr="00914237" w:rsidTr="000C3BC0">
        <w:trPr>
          <w:trHeight w:val="275"/>
        </w:trPr>
        <w:tc>
          <w:tcPr>
            <w:tcW w:w="7162" w:type="dxa"/>
            <w:tcBorders>
              <w:top w:val="nil"/>
              <w:left w:val="nil"/>
              <w:bottom w:val="nil"/>
              <w:right w:val="nil"/>
            </w:tcBorders>
            <w:shd w:val="clear" w:color="000000" w:fill="FFFFFF"/>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w:t>
            </w:r>
          </w:p>
        </w:tc>
        <w:tc>
          <w:tcPr>
            <w:tcW w:w="2914" w:type="dxa"/>
            <w:tcBorders>
              <w:top w:val="nil"/>
              <w:left w:val="nil"/>
              <w:bottom w:val="nil"/>
              <w:right w:val="nil"/>
            </w:tcBorders>
            <w:shd w:val="clear" w:color="000000" w:fill="FFFFFF"/>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w:t>
            </w:r>
          </w:p>
        </w:tc>
      </w:tr>
      <w:tr w:rsidR="000C3BC0" w:rsidRPr="00914237" w:rsidTr="000C3BC0">
        <w:trPr>
          <w:trHeight w:val="334"/>
        </w:trPr>
        <w:tc>
          <w:tcPr>
            <w:tcW w:w="7162"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 xml:space="preserve">Montos destinados a subsidios  </w:t>
            </w:r>
          </w:p>
        </w:tc>
        <w:tc>
          <w:tcPr>
            <w:tcW w:w="2914"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 xml:space="preserve"> IMPORTE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Capacitación para la calidad, competitividad y emprendimiento en el estado.</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2,291,321.0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Contratación del Seguro Sanitario para la actividad Avícola de  Yucatán</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4,636,339.0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Coparticipación Social </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6,008,957.0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Desarrollo Artesanal en el Estado de Yucatán</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546,411.0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Eventos y Ferias de Promoción Artesanal</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264,644.0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Fondo de apoyo al emprendedor y la economía social.</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200,000.0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Fondo de promoción social para la inversión de capital de riesgo para emprendedores en Yucatán</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3,311,330.0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Operación de la Red de Apoyo al Emprendedor en el Estado de Yucatán</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2,332,262.0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Participación en el Sistema Nacional de Información para el Desarrollo Rural Sustentable (Snidrus)</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600,000.0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Producción de plantas nativas con fines de reforestación social. </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982,511.0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 a la Promoción Turística de Zonas Arqueológicas</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50,000.0 </w:t>
            </w:r>
          </w:p>
        </w:tc>
      </w:tr>
      <w:tr w:rsidR="000C3BC0" w:rsidRPr="00914237" w:rsidTr="000C3BC0">
        <w:trPr>
          <w:trHeight w:val="610"/>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 a Pequeños Productores (Componente Atención a Siniestros Agropecuarios)</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51,532,732.0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 a Pequeños Productores (Componente Infraestructura Productiva para el Aprovechamiento de Suelo y Agua)</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11,222,500.0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 al emprendimiento rural</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1,278,670.0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Programa de Apoyo Directo al Desarrollo Pesquero y Acuícola (PADDEPA) </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4,690,000.0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 Directo al Desarrollo Rural (PADDER)</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51,678,501.0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Apoyos a Pequeños Productores (Componente de Extensión)</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11,542,750.0 </w:t>
            </w:r>
          </w:p>
        </w:tc>
      </w:tr>
      <w:tr w:rsidR="000C3BC0" w:rsidRPr="00914237" w:rsidTr="000C3BC0">
        <w:trPr>
          <w:trHeight w:val="610"/>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Apoyos a Pequeños Productores (Componente Proyecto Estratégico de Seguridad Alimentaria (PESA))</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6,100,000.0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Concurrencia con las Entidades Federativas (Componente Infraestructura, Equipamiento, Maquinaria y Material Biológico)</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24,000,000.0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Programa de Concurrencia con las Entidades Federativas (Componente Pesquero y Acuícola) </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13,500,000.0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Desarrollo de Unidades Productivas Campesinas e Insumos Rurales Producir</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1,100,000.0 </w:t>
            </w:r>
          </w:p>
        </w:tc>
      </w:tr>
      <w:tr w:rsidR="000C3BC0" w:rsidRPr="00914237" w:rsidTr="000C3BC0">
        <w:trPr>
          <w:trHeight w:val="610"/>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Fomento a la Productividad Pesquera y Acuícola (Componente de Desarrollo Estratégico de la Acuacultura)</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2,550,000.0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Fomento a la Productividad Pesquera y Acuícola (Componente de Impulso a la Capitalización Pesquera y Acuícola)</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7,005,000.0 </w:t>
            </w:r>
          </w:p>
        </w:tc>
      </w:tr>
      <w:tr w:rsidR="000C3BC0" w:rsidRPr="00914237" w:rsidTr="000C3BC0">
        <w:trPr>
          <w:trHeight w:val="610"/>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Rehabilitación, Modernización, Tecnificación y Equipamiento de Unidades de Riego</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3,500,000.0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de Sanidad e Inocuidad Alimentaria</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60,747,375.0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Estratégico de Fomento Agropecuario del Estado de Yucatán</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10,000,000.0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para el Desarrollo de Intraemprendedores</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para el Repoblamiento y Mejoramiento Genético Ganadero</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22,275,560.0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para la conservación de la agrobiodiversidad en el estado de Yucatán</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2,500,000.0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Peso a Peso</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35,000,000.0 </w:t>
            </w:r>
          </w:p>
        </w:tc>
      </w:tr>
      <w:tr w:rsidR="000C3BC0" w:rsidRPr="00914237" w:rsidTr="000C3BC0">
        <w:trPr>
          <w:trHeight w:val="315"/>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 Peso a Peso (Componente Pesca)</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1,226,815.0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Programa Producción Pecuaria de Traspatio </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1,376,065.0 </w:t>
            </w:r>
          </w:p>
        </w:tc>
      </w:tr>
      <w:tr w:rsidR="000C3BC0" w:rsidRPr="00914237" w:rsidTr="000C3BC0">
        <w:trPr>
          <w:trHeight w:val="610"/>
        </w:trPr>
        <w:tc>
          <w:tcPr>
            <w:tcW w:w="716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Reducción de Costos Financieros para productores agropecuarios y agroindustriales de Yucatán</w:t>
            </w:r>
          </w:p>
        </w:tc>
        <w:tc>
          <w:tcPr>
            <w:tcW w:w="2914"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5,000,000.0 </w:t>
            </w:r>
          </w:p>
        </w:tc>
      </w:tr>
      <w:tr w:rsidR="000C3BC0" w:rsidRPr="00914237" w:rsidTr="000C3BC0">
        <w:trPr>
          <w:trHeight w:val="315"/>
        </w:trPr>
        <w:tc>
          <w:tcPr>
            <w:tcW w:w="716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Servicios para la perforación de pozos en el Estado de Yucatán</w:t>
            </w:r>
          </w:p>
        </w:tc>
        <w:tc>
          <w:tcPr>
            <w:tcW w:w="2914"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4,000,000.0 </w:t>
            </w:r>
          </w:p>
        </w:tc>
      </w:tr>
      <w:tr w:rsidR="000C3BC0" w:rsidRPr="00914237" w:rsidTr="000C3BC0">
        <w:trPr>
          <w:trHeight w:val="374"/>
        </w:trPr>
        <w:tc>
          <w:tcPr>
            <w:tcW w:w="7162"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TOTAL</w:t>
            </w:r>
          </w:p>
        </w:tc>
        <w:tc>
          <w:tcPr>
            <w:tcW w:w="2914"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ind w:firstLineChars="500" w:firstLine="1405"/>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353,249,743.0</w:t>
            </w:r>
          </w:p>
        </w:tc>
      </w:tr>
    </w:tbl>
    <w:p w:rsidR="000C3BC0" w:rsidRDefault="000C3BC0" w:rsidP="000C3BC0"/>
    <w:p w:rsidR="000C3BC0" w:rsidRDefault="000C3BC0" w:rsidP="000C3BC0"/>
    <w:tbl>
      <w:tblPr>
        <w:tblW w:w="10338" w:type="dxa"/>
        <w:tblCellMar>
          <w:left w:w="70" w:type="dxa"/>
          <w:right w:w="70" w:type="dxa"/>
        </w:tblCellMar>
        <w:tblLook w:val="04A0"/>
      </w:tblPr>
      <w:tblGrid>
        <w:gridCol w:w="8112"/>
        <w:gridCol w:w="2226"/>
      </w:tblGrid>
      <w:tr w:rsidR="000C3BC0" w:rsidRPr="00914237" w:rsidTr="000C3BC0">
        <w:trPr>
          <w:trHeight w:val="385"/>
        </w:trPr>
        <w:tc>
          <w:tcPr>
            <w:tcW w:w="10338" w:type="dxa"/>
            <w:gridSpan w:val="2"/>
            <w:tcBorders>
              <w:top w:val="nil"/>
              <w:left w:val="nil"/>
              <w:bottom w:val="nil"/>
              <w:right w:val="nil"/>
            </w:tcBorders>
            <w:shd w:val="clear" w:color="000000" w:fill="FFFFFF"/>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11c</w:t>
            </w:r>
          </w:p>
        </w:tc>
      </w:tr>
      <w:tr w:rsidR="000C3BC0" w:rsidRPr="00914237" w:rsidTr="000C3BC0">
        <w:trPr>
          <w:trHeight w:val="385"/>
        </w:trPr>
        <w:tc>
          <w:tcPr>
            <w:tcW w:w="10338" w:type="dxa"/>
            <w:gridSpan w:val="2"/>
            <w:tcBorders>
              <w:top w:val="nil"/>
              <w:left w:val="nil"/>
              <w:bottom w:val="nil"/>
              <w:right w:val="nil"/>
            </w:tcBorders>
            <w:shd w:val="clear" w:color="000000" w:fill="FFFFFF"/>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PRESUPUESTO ASIGNADO PARA AYUDAS SOCIAL</w:t>
            </w:r>
          </w:p>
        </w:tc>
      </w:tr>
      <w:tr w:rsidR="000C3BC0" w:rsidRPr="00914237" w:rsidTr="000C3BC0">
        <w:trPr>
          <w:trHeight w:val="303"/>
        </w:trPr>
        <w:tc>
          <w:tcPr>
            <w:tcW w:w="8112" w:type="dxa"/>
            <w:tcBorders>
              <w:top w:val="nil"/>
              <w:left w:val="nil"/>
              <w:bottom w:val="nil"/>
              <w:right w:val="nil"/>
            </w:tcBorders>
            <w:shd w:val="clear" w:color="000000" w:fill="FFFFFF"/>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2225"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r>
      <w:tr w:rsidR="000C3BC0" w:rsidRPr="00914237" w:rsidTr="000C3BC0">
        <w:trPr>
          <w:trHeight w:val="343"/>
        </w:trPr>
        <w:tc>
          <w:tcPr>
            <w:tcW w:w="8112"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TRANSFERENCIAS A ORGANISMOS DE LA SOCIEDAD CIVIL</w:t>
            </w:r>
          </w:p>
        </w:tc>
        <w:tc>
          <w:tcPr>
            <w:tcW w:w="2225"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 xml:space="preserve"> IMPORTE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Administración de los recursos financieros del ISSTEY</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300,000.0 </w:t>
            </w:r>
          </w:p>
        </w:tc>
      </w:tr>
      <w:tr w:rsidR="000C3BC0" w:rsidRPr="00914237" w:rsidTr="000C3BC0">
        <w:trPr>
          <w:trHeight w:val="628"/>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Administración de los recursos humanos, materiales y financieros del Instituto de Vivienda del Estado de Yucatán.</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36,000.0 </w:t>
            </w:r>
          </w:p>
        </w:tc>
      </w:tr>
      <w:tr w:rsidR="000C3BC0" w:rsidRPr="00914237" w:rsidTr="000C3BC0">
        <w:trPr>
          <w:trHeight w:val="628"/>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Apoyo económico a Organizaciones de la Sociedad Civil que tienen por objeto la Asistencia Social</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9,800,000.0 </w:t>
            </w:r>
          </w:p>
        </w:tc>
      </w:tr>
      <w:tr w:rsidR="000C3BC0" w:rsidRPr="00914237" w:rsidTr="000C3BC0">
        <w:trPr>
          <w:trHeight w:val="323"/>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Atención de la educación media superior en el estado de Yucatán</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10,332.0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Atender con servicios de  educación superior a alumnos del estado Yucatán</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30,026.0 </w:t>
            </w:r>
          </w:p>
        </w:tc>
      </w:tr>
      <w:tr w:rsidR="000C3BC0" w:rsidRPr="00914237" w:rsidTr="000C3BC0">
        <w:trPr>
          <w:trHeight w:val="323"/>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Comisión de Derechos Humanos del Estado de Yucatán 2019</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120,611.0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Donativo a la Cruz Roja</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1,500,000.0 </w:t>
            </w:r>
          </w:p>
        </w:tc>
      </w:tr>
      <w:tr w:rsidR="000C3BC0" w:rsidRPr="00914237" w:rsidTr="000C3BC0">
        <w:trPr>
          <w:trHeight w:val="323"/>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Donativo a la Fundación del Empresariado Yucateco Mérida</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15,000,000.0 </w:t>
            </w:r>
          </w:p>
        </w:tc>
      </w:tr>
      <w:tr w:rsidR="000C3BC0" w:rsidRPr="00914237" w:rsidTr="000C3BC0">
        <w:trPr>
          <w:trHeight w:val="628"/>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Ejecución de Actividades Administrativas para la Operación del Instituto de Seguridad Social de los Trabajadores del Estado de Yucatán</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200,000.0 </w:t>
            </w:r>
          </w:p>
        </w:tc>
      </w:tr>
      <w:tr w:rsidR="000C3BC0" w:rsidRPr="00914237" w:rsidTr="000C3BC0">
        <w:trPr>
          <w:trHeight w:val="628"/>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Exposiciones, programas educativos y expresiones multidisciplinarias del Museo de Arte Contemporáneo Ateneo de Yucatán (MACAY)</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9,872,406.0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Fortalecimiento de los Recursos Financieros del ISSTEY</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500,000.0 </w:t>
            </w:r>
          </w:p>
        </w:tc>
      </w:tr>
      <w:tr w:rsidR="000C3BC0" w:rsidRPr="00914237" w:rsidTr="000C3BC0">
        <w:trPr>
          <w:trHeight w:val="323"/>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Fortalecimiento y fomento a las Organizaciones de la Sociedad Civil</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60,000.0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Operación del Consejo de Planeación y Evaluación del Estado de Yucatán</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1,000,000.0 </w:t>
            </w:r>
          </w:p>
        </w:tc>
      </w:tr>
      <w:tr w:rsidR="000C3BC0" w:rsidRPr="00914237" w:rsidTr="000C3BC0">
        <w:trPr>
          <w:trHeight w:val="628"/>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Programas artísticos de música tradicional yucateca del Museo de la Canción Yucateca</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960,000.0 </w:t>
            </w:r>
          </w:p>
        </w:tc>
      </w:tr>
      <w:tr w:rsidR="000C3BC0" w:rsidRPr="00914237" w:rsidTr="000C3BC0">
        <w:trPr>
          <w:trHeight w:val="628"/>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Promover la gestión responsable como apoyo a las funciones sustantivas de la UADY</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11,457,077.0 </w:t>
            </w:r>
          </w:p>
        </w:tc>
      </w:tr>
      <w:tr w:rsidR="000C3BC0" w:rsidRPr="00914237" w:rsidTr="000C3BC0">
        <w:trPr>
          <w:trHeight w:val="628"/>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Proporcionar servicio de guardería a hijos de derechohabientes en los Centros de Desarrollo Infantil</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250,000.0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Servicio de esparcimiento en el Centro Vacacional Costa Club ISSTEY</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250,000.0 </w:t>
            </w:r>
          </w:p>
        </w:tc>
      </w:tr>
      <w:tr w:rsidR="000C3BC0" w:rsidRPr="00914237" w:rsidTr="000C3BC0">
        <w:trPr>
          <w:trHeight w:val="323"/>
        </w:trPr>
        <w:tc>
          <w:tcPr>
            <w:tcW w:w="8112" w:type="dxa"/>
            <w:tcBorders>
              <w:top w:val="nil"/>
              <w:left w:val="nil"/>
              <w:bottom w:val="nil"/>
              <w:right w:val="nil"/>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Sistema de Evaluación del Desempeño</w:t>
            </w:r>
          </w:p>
        </w:tc>
        <w:tc>
          <w:tcPr>
            <w:tcW w:w="2225" w:type="dxa"/>
            <w:tcBorders>
              <w:top w:val="nil"/>
              <w:left w:val="nil"/>
              <w:bottom w:val="nil"/>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1,500,000.0 </w:t>
            </w:r>
          </w:p>
        </w:tc>
      </w:tr>
      <w:tr w:rsidR="000C3BC0" w:rsidRPr="00914237" w:rsidTr="000C3BC0">
        <w:trPr>
          <w:trHeight w:val="323"/>
        </w:trPr>
        <w:tc>
          <w:tcPr>
            <w:tcW w:w="8112" w:type="dxa"/>
            <w:tcBorders>
              <w:top w:val="nil"/>
              <w:left w:val="nil"/>
              <w:bottom w:val="nil"/>
              <w:right w:val="nil"/>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Venta de productos de consumo en los Centros Comerciales del ISSTEY</w:t>
            </w:r>
          </w:p>
        </w:tc>
        <w:tc>
          <w:tcPr>
            <w:tcW w:w="2225" w:type="dxa"/>
            <w:tcBorders>
              <w:top w:val="nil"/>
              <w:left w:val="nil"/>
              <w:bottom w:val="nil"/>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50,000.0 </w:t>
            </w:r>
          </w:p>
        </w:tc>
      </w:tr>
      <w:tr w:rsidR="000C3BC0" w:rsidRPr="00914237" w:rsidTr="000C3BC0">
        <w:trPr>
          <w:trHeight w:val="385"/>
        </w:trPr>
        <w:tc>
          <w:tcPr>
            <w:tcW w:w="8112"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lastRenderedPageBreak/>
              <w:t>TOTAL</w:t>
            </w:r>
          </w:p>
        </w:tc>
        <w:tc>
          <w:tcPr>
            <w:tcW w:w="2225"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jc w:val="right"/>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52,896,452.0</w:t>
            </w:r>
          </w:p>
        </w:tc>
      </w:tr>
    </w:tbl>
    <w:p w:rsidR="000C3BC0" w:rsidRDefault="000C3BC0" w:rsidP="000C3BC0"/>
    <w:p w:rsidR="000C3BC0" w:rsidRDefault="000C3BC0" w:rsidP="000C3BC0"/>
    <w:tbl>
      <w:tblPr>
        <w:tblW w:w="10075" w:type="dxa"/>
        <w:jc w:val="center"/>
        <w:tblCellMar>
          <w:left w:w="70" w:type="dxa"/>
          <w:right w:w="70" w:type="dxa"/>
        </w:tblCellMar>
        <w:tblLook w:val="04A0"/>
      </w:tblPr>
      <w:tblGrid>
        <w:gridCol w:w="2878"/>
        <w:gridCol w:w="2321"/>
        <w:gridCol w:w="2551"/>
        <w:gridCol w:w="2325"/>
      </w:tblGrid>
      <w:tr w:rsidR="000C3BC0" w:rsidRPr="00914237" w:rsidTr="000C3BC0">
        <w:trPr>
          <w:trHeight w:val="340"/>
          <w:jc w:val="center"/>
        </w:trPr>
        <w:tc>
          <w:tcPr>
            <w:tcW w:w="10075" w:type="dxa"/>
            <w:gridSpan w:val="4"/>
            <w:tcBorders>
              <w:top w:val="nil"/>
              <w:left w:val="nil"/>
              <w:bottom w:val="nil"/>
              <w:right w:val="nil"/>
            </w:tcBorders>
            <w:shd w:val="clear" w:color="auto" w:fill="auto"/>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11d</w:t>
            </w:r>
          </w:p>
        </w:tc>
      </w:tr>
      <w:tr w:rsidR="000C3BC0" w:rsidRPr="00914237" w:rsidTr="000C3BC0">
        <w:trPr>
          <w:trHeight w:val="340"/>
          <w:jc w:val="center"/>
        </w:trPr>
        <w:tc>
          <w:tcPr>
            <w:tcW w:w="10075" w:type="dxa"/>
            <w:gridSpan w:val="4"/>
            <w:tcBorders>
              <w:top w:val="nil"/>
              <w:left w:val="nil"/>
              <w:bottom w:val="nil"/>
              <w:right w:val="nil"/>
            </w:tcBorders>
            <w:shd w:val="clear" w:color="auto" w:fill="auto"/>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FINANCIAMIENTOS A PARTIDOS POLÍTICOS</w:t>
            </w:r>
          </w:p>
        </w:tc>
      </w:tr>
      <w:tr w:rsidR="000C3BC0" w:rsidRPr="00914237" w:rsidTr="000C3BC0">
        <w:trPr>
          <w:trHeight w:val="283"/>
          <w:jc w:val="center"/>
        </w:trPr>
        <w:tc>
          <w:tcPr>
            <w:tcW w:w="2878"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p>
        </w:tc>
        <w:tc>
          <w:tcPr>
            <w:tcW w:w="2321"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2551"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2323"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83"/>
          <w:jc w:val="center"/>
        </w:trPr>
        <w:tc>
          <w:tcPr>
            <w:tcW w:w="10075" w:type="dxa"/>
            <w:gridSpan w:val="4"/>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sz w:val="20"/>
                <w:szCs w:val="20"/>
                <w:lang w:val="es-MX" w:eastAsia="es-ES_tradnl"/>
              </w:rPr>
            </w:pPr>
            <w:r w:rsidRPr="00914237">
              <w:rPr>
                <w:rFonts w:ascii="Barlow" w:eastAsia="Times New Roman" w:hAnsi="Barlow" w:cs="Calibri"/>
                <w:b/>
                <w:bCs/>
                <w:color w:val="000000"/>
                <w:sz w:val="20"/>
                <w:szCs w:val="20"/>
                <w:lang w:val="es-MX" w:eastAsia="es-ES_tradnl"/>
              </w:rPr>
              <w:t>INSTITUTO ELECTORAL Y DE PARTICIPACIÓN CIUDADANA PRERROGATIVAS A PARTIDOS POLÍTICOS 2019</w:t>
            </w:r>
          </w:p>
        </w:tc>
      </w:tr>
      <w:tr w:rsidR="000C3BC0" w:rsidRPr="00914237" w:rsidTr="000C3BC0">
        <w:trPr>
          <w:trHeight w:val="302"/>
          <w:jc w:val="center"/>
        </w:trPr>
        <w:tc>
          <w:tcPr>
            <w:tcW w:w="2878"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sz w:val="20"/>
                <w:szCs w:val="20"/>
                <w:lang w:val="es-MX" w:eastAsia="es-ES_tradnl"/>
              </w:rPr>
            </w:pPr>
          </w:p>
        </w:tc>
        <w:tc>
          <w:tcPr>
            <w:tcW w:w="2321"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2551"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2323"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312"/>
          <w:jc w:val="center"/>
        </w:trPr>
        <w:tc>
          <w:tcPr>
            <w:tcW w:w="2878" w:type="dxa"/>
            <w:vMerge w:val="restart"/>
            <w:tcBorders>
              <w:top w:val="single" w:sz="4" w:space="0" w:color="000000"/>
              <w:left w:val="single" w:sz="4" w:space="0" w:color="000000"/>
              <w:bottom w:val="single" w:sz="4" w:space="0" w:color="000000"/>
              <w:right w:val="single" w:sz="4" w:space="0" w:color="000000"/>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Partido Político</w:t>
            </w:r>
          </w:p>
        </w:tc>
        <w:tc>
          <w:tcPr>
            <w:tcW w:w="7196" w:type="dxa"/>
            <w:gridSpan w:val="3"/>
            <w:tcBorders>
              <w:top w:val="single" w:sz="4" w:space="0" w:color="000000"/>
              <w:left w:val="nil"/>
              <w:bottom w:val="single" w:sz="4" w:space="0" w:color="000000"/>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Financiamiento</w:t>
            </w:r>
          </w:p>
        </w:tc>
      </w:tr>
      <w:tr w:rsidR="000C3BC0" w:rsidRPr="00914237" w:rsidTr="000C3BC0">
        <w:trPr>
          <w:trHeight w:val="297"/>
          <w:jc w:val="center"/>
        </w:trPr>
        <w:tc>
          <w:tcPr>
            <w:tcW w:w="2878" w:type="dxa"/>
            <w:vMerge/>
            <w:tcBorders>
              <w:top w:val="single" w:sz="4" w:space="0" w:color="000000"/>
              <w:left w:val="single" w:sz="4" w:space="0" w:color="000000"/>
              <w:bottom w:val="single" w:sz="4" w:space="0" w:color="000000"/>
              <w:right w:val="single" w:sz="4" w:space="0" w:color="000000"/>
            </w:tcBorders>
            <w:vAlign w:val="center"/>
            <w:hideMark/>
          </w:tcPr>
          <w:p w:rsidR="000C3BC0" w:rsidRPr="00914237" w:rsidRDefault="000C3BC0" w:rsidP="000C3BC0">
            <w:pPr>
              <w:rPr>
                <w:rFonts w:ascii="Barlow" w:eastAsia="Times New Roman" w:hAnsi="Barlow" w:cs="Calibri"/>
                <w:b/>
                <w:bCs/>
                <w:color w:val="FFFFFF"/>
                <w:lang w:val="es-MX" w:eastAsia="es-ES_tradnl"/>
              </w:rPr>
            </w:pPr>
          </w:p>
        </w:tc>
        <w:tc>
          <w:tcPr>
            <w:tcW w:w="2321" w:type="dxa"/>
            <w:tcBorders>
              <w:top w:val="nil"/>
              <w:left w:val="nil"/>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Ordinario</w:t>
            </w:r>
          </w:p>
        </w:tc>
        <w:tc>
          <w:tcPr>
            <w:tcW w:w="2551" w:type="dxa"/>
            <w:tcBorders>
              <w:top w:val="nil"/>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Adicional</w:t>
            </w:r>
          </w:p>
        </w:tc>
        <w:tc>
          <w:tcPr>
            <w:tcW w:w="2323" w:type="dxa"/>
            <w:tcBorders>
              <w:top w:val="nil"/>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Suma</w:t>
            </w:r>
          </w:p>
        </w:tc>
      </w:tr>
      <w:tr w:rsidR="000C3BC0" w:rsidRPr="00914237" w:rsidTr="000C3BC0">
        <w:trPr>
          <w:trHeight w:val="644"/>
          <w:jc w:val="center"/>
        </w:trPr>
        <w:tc>
          <w:tcPr>
            <w:tcW w:w="2878" w:type="dxa"/>
            <w:tcBorders>
              <w:top w:val="nil"/>
              <w:left w:val="single" w:sz="8" w:space="0" w:color="auto"/>
              <w:bottom w:val="single" w:sz="4" w:space="0" w:color="auto"/>
              <w:right w:val="single" w:sz="8" w:space="0" w:color="auto"/>
            </w:tcBorders>
            <w:shd w:val="clear" w:color="000000" w:fill="F2F2F2"/>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ACCIÓN NACIONAL (PAN)</w:t>
            </w:r>
          </w:p>
        </w:tc>
        <w:tc>
          <w:tcPr>
            <w:tcW w:w="2321" w:type="dxa"/>
            <w:tcBorders>
              <w:top w:val="single" w:sz="4" w:space="0" w:color="auto"/>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22,977,578.9 </w:t>
            </w:r>
          </w:p>
        </w:tc>
        <w:tc>
          <w:tcPr>
            <w:tcW w:w="2551" w:type="dxa"/>
            <w:tcBorders>
              <w:top w:val="single" w:sz="4" w:space="0" w:color="auto"/>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single" w:sz="4" w:space="0" w:color="auto"/>
              <w:left w:val="nil"/>
              <w:bottom w:val="single" w:sz="4" w:space="0" w:color="auto"/>
              <w:right w:val="single" w:sz="8"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22,977,578.9 </w:t>
            </w:r>
          </w:p>
        </w:tc>
      </w:tr>
      <w:tr w:rsidR="000C3BC0" w:rsidRPr="00914237" w:rsidTr="000C3BC0">
        <w:trPr>
          <w:trHeight w:val="966"/>
          <w:jc w:val="center"/>
        </w:trPr>
        <w:tc>
          <w:tcPr>
            <w:tcW w:w="2878" w:type="dxa"/>
            <w:tcBorders>
              <w:top w:val="nil"/>
              <w:left w:val="single" w:sz="8" w:space="0" w:color="auto"/>
              <w:bottom w:val="single" w:sz="4" w:space="0" w:color="auto"/>
              <w:right w:val="single" w:sz="8"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DE LA REVOLUCIÓN DEMOCRÁTICA (PRD)</w:t>
            </w:r>
          </w:p>
        </w:tc>
        <w:tc>
          <w:tcPr>
            <w:tcW w:w="232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5,893,579.5 </w:t>
            </w:r>
          </w:p>
        </w:tc>
        <w:tc>
          <w:tcPr>
            <w:tcW w:w="255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nil"/>
              <w:left w:val="nil"/>
              <w:bottom w:val="single" w:sz="4" w:space="0" w:color="auto"/>
              <w:right w:val="single" w:sz="8"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5,893,579.5 </w:t>
            </w:r>
          </w:p>
        </w:tc>
      </w:tr>
      <w:tr w:rsidR="000C3BC0" w:rsidRPr="00914237" w:rsidTr="000C3BC0">
        <w:trPr>
          <w:trHeight w:val="966"/>
          <w:jc w:val="center"/>
        </w:trPr>
        <w:tc>
          <w:tcPr>
            <w:tcW w:w="2878" w:type="dxa"/>
            <w:tcBorders>
              <w:top w:val="nil"/>
              <w:left w:val="single" w:sz="8" w:space="0" w:color="auto"/>
              <w:bottom w:val="single" w:sz="4" w:space="0" w:color="auto"/>
              <w:right w:val="single" w:sz="8" w:space="0" w:color="auto"/>
            </w:tcBorders>
            <w:shd w:val="clear" w:color="000000" w:fill="F2F2F2"/>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MOVIMIENTO DE REGENERACIÓN NACIONAL (MORENA)</w:t>
            </w:r>
          </w:p>
        </w:tc>
        <w:tc>
          <w:tcPr>
            <w:tcW w:w="2321" w:type="dxa"/>
            <w:tcBorders>
              <w:top w:val="nil"/>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16,727,905.5 </w:t>
            </w:r>
          </w:p>
        </w:tc>
        <w:tc>
          <w:tcPr>
            <w:tcW w:w="2551" w:type="dxa"/>
            <w:tcBorders>
              <w:top w:val="nil"/>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nil"/>
              <w:left w:val="nil"/>
              <w:bottom w:val="single" w:sz="4" w:space="0" w:color="auto"/>
              <w:right w:val="single" w:sz="8"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16,727,905.5 </w:t>
            </w:r>
          </w:p>
        </w:tc>
      </w:tr>
      <w:tr w:rsidR="000C3BC0" w:rsidRPr="00914237" w:rsidTr="000C3BC0">
        <w:trPr>
          <w:trHeight w:val="644"/>
          <w:jc w:val="center"/>
        </w:trPr>
        <w:tc>
          <w:tcPr>
            <w:tcW w:w="2878" w:type="dxa"/>
            <w:tcBorders>
              <w:top w:val="nil"/>
              <w:left w:val="single" w:sz="8" w:space="0" w:color="auto"/>
              <w:bottom w:val="single" w:sz="4" w:space="0" w:color="auto"/>
              <w:right w:val="single" w:sz="8"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NUEVA ALIANZA (PANAL)</w:t>
            </w:r>
          </w:p>
        </w:tc>
        <w:tc>
          <w:tcPr>
            <w:tcW w:w="232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5,433,449.6 </w:t>
            </w:r>
          </w:p>
        </w:tc>
        <w:tc>
          <w:tcPr>
            <w:tcW w:w="255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nil"/>
              <w:left w:val="nil"/>
              <w:bottom w:val="single" w:sz="4" w:space="0" w:color="auto"/>
              <w:right w:val="single" w:sz="8"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5,433,449.6 </w:t>
            </w:r>
          </w:p>
        </w:tc>
      </w:tr>
      <w:tr w:rsidR="000C3BC0" w:rsidRPr="00914237" w:rsidTr="000C3BC0">
        <w:trPr>
          <w:trHeight w:val="644"/>
          <w:jc w:val="center"/>
        </w:trPr>
        <w:tc>
          <w:tcPr>
            <w:tcW w:w="2878" w:type="dxa"/>
            <w:tcBorders>
              <w:top w:val="nil"/>
              <w:left w:val="single" w:sz="8" w:space="0" w:color="auto"/>
              <w:bottom w:val="single" w:sz="4" w:space="0" w:color="auto"/>
              <w:right w:val="single" w:sz="8" w:space="0" w:color="auto"/>
            </w:tcBorders>
            <w:shd w:val="clear" w:color="000000" w:fill="F2F2F2"/>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REVOLUCIONARIO INSTITUCIONAL (PRI)</w:t>
            </w:r>
          </w:p>
        </w:tc>
        <w:tc>
          <w:tcPr>
            <w:tcW w:w="2321" w:type="dxa"/>
            <w:tcBorders>
              <w:top w:val="nil"/>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24,124,590.8 </w:t>
            </w:r>
          </w:p>
        </w:tc>
        <w:tc>
          <w:tcPr>
            <w:tcW w:w="2551" w:type="dxa"/>
            <w:tcBorders>
              <w:top w:val="nil"/>
              <w:left w:val="nil"/>
              <w:bottom w:val="single" w:sz="4" w:space="0" w:color="auto"/>
              <w:right w:val="single" w:sz="4"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nil"/>
              <w:left w:val="nil"/>
              <w:bottom w:val="single" w:sz="4" w:space="0" w:color="auto"/>
              <w:right w:val="single" w:sz="8" w:space="0" w:color="auto"/>
            </w:tcBorders>
            <w:shd w:val="clear" w:color="000000" w:fill="F2F2F2"/>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24,124,590.8 </w:t>
            </w:r>
          </w:p>
        </w:tc>
      </w:tr>
      <w:tr w:rsidR="000C3BC0" w:rsidRPr="00914237" w:rsidTr="000C3BC0">
        <w:trPr>
          <w:trHeight w:val="966"/>
          <w:jc w:val="center"/>
        </w:trPr>
        <w:tc>
          <w:tcPr>
            <w:tcW w:w="2878" w:type="dxa"/>
            <w:tcBorders>
              <w:top w:val="nil"/>
              <w:left w:val="single" w:sz="8" w:space="0" w:color="auto"/>
              <w:bottom w:val="single" w:sz="4" w:space="0" w:color="auto"/>
              <w:right w:val="single" w:sz="8"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PARTIDO VERDE ECOLOGISTA DE MÉXICO(PVEM)</w:t>
            </w:r>
          </w:p>
        </w:tc>
        <w:tc>
          <w:tcPr>
            <w:tcW w:w="232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6,185,548.1 </w:t>
            </w:r>
          </w:p>
        </w:tc>
        <w:tc>
          <w:tcPr>
            <w:tcW w:w="2551" w:type="dxa"/>
            <w:tcBorders>
              <w:top w:val="nil"/>
              <w:left w:val="nil"/>
              <w:bottom w:val="single" w:sz="4" w:space="0" w:color="auto"/>
              <w:right w:val="single" w:sz="4"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   </w:t>
            </w:r>
          </w:p>
        </w:tc>
        <w:tc>
          <w:tcPr>
            <w:tcW w:w="2323" w:type="dxa"/>
            <w:tcBorders>
              <w:top w:val="nil"/>
              <w:left w:val="nil"/>
              <w:bottom w:val="single" w:sz="4" w:space="0" w:color="auto"/>
              <w:right w:val="single" w:sz="8" w:space="0" w:color="auto"/>
            </w:tcBorders>
            <w:shd w:val="clear" w:color="auto" w:fill="auto"/>
            <w:vAlign w:val="bottom"/>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6,185,548.1 </w:t>
            </w:r>
          </w:p>
        </w:tc>
      </w:tr>
      <w:tr w:rsidR="000C3BC0" w:rsidRPr="00914237" w:rsidTr="000C3BC0">
        <w:trPr>
          <w:trHeight w:val="359"/>
          <w:jc w:val="center"/>
        </w:trPr>
        <w:tc>
          <w:tcPr>
            <w:tcW w:w="2878"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TOTAL</w:t>
            </w:r>
          </w:p>
        </w:tc>
        <w:tc>
          <w:tcPr>
            <w:tcW w:w="2321"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jc w:val="right"/>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81,342,652.4</w:t>
            </w:r>
          </w:p>
        </w:tc>
        <w:tc>
          <w:tcPr>
            <w:tcW w:w="2551"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   </w:t>
            </w:r>
          </w:p>
        </w:tc>
        <w:tc>
          <w:tcPr>
            <w:tcW w:w="2323"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jc w:val="right"/>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81,342,652.4</w:t>
            </w:r>
          </w:p>
        </w:tc>
      </w:tr>
    </w:tbl>
    <w:p w:rsidR="000C3BC0" w:rsidRDefault="000C3BC0" w:rsidP="000C3BC0"/>
    <w:p w:rsidR="000C3BC0" w:rsidRDefault="000C3BC0" w:rsidP="000C3BC0"/>
    <w:tbl>
      <w:tblPr>
        <w:tblW w:w="10122" w:type="dxa"/>
        <w:jc w:val="center"/>
        <w:tblCellMar>
          <w:left w:w="70" w:type="dxa"/>
          <w:right w:w="70" w:type="dxa"/>
        </w:tblCellMar>
        <w:tblLook w:val="04A0"/>
      </w:tblPr>
      <w:tblGrid>
        <w:gridCol w:w="2789"/>
        <w:gridCol w:w="2033"/>
        <w:gridCol w:w="1881"/>
        <w:gridCol w:w="1881"/>
        <w:gridCol w:w="1555"/>
      </w:tblGrid>
      <w:tr w:rsidR="000C3BC0" w:rsidRPr="00914237" w:rsidTr="000C3BC0">
        <w:trPr>
          <w:trHeight w:val="278"/>
          <w:jc w:val="center"/>
        </w:trPr>
        <w:tc>
          <w:tcPr>
            <w:tcW w:w="10122" w:type="dxa"/>
            <w:gridSpan w:val="5"/>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11e</w:t>
            </w:r>
          </w:p>
        </w:tc>
      </w:tr>
      <w:tr w:rsidR="000C3BC0" w:rsidRPr="00914237" w:rsidTr="000C3BC0">
        <w:trPr>
          <w:trHeight w:val="278"/>
          <w:jc w:val="center"/>
        </w:trPr>
        <w:tc>
          <w:tcPr>
            <w:tcW w:w="10122" w:type="dxa"/>
            <w:gridSpan w:val="5"/>
            <w:tcBorders>
              <w:top w:val="nil"/>
              <w:left w:val="nil"/>
              <w:bottom w:val="nil"/>
              <w:right w:val="nil"/>
            </w:tcBorders>
            <w:shd w:val="clear" w:color="000000" w:fill="FFFFFF"/>
            <w:noWrap/>
            <w:vAlign w:val="center"/>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Destino del Financiamiento Adicionales a los Partidos Políticos</w:t>
            </w:r>
          </w:p>
        </w:tc>
      </w:tr>
      <w:tr w:rsidR="000C3BC0" w:rsidRPr="00914237" w:rsidTr="000C3BC0">
        <w:trPr>
          <w:trHeight w:val="263"/>
          <w:jc w:val="center"/>
        </w:trPr>
        <w:tc>
          <w:tcPr>
            <w:tcW w:w="2789" w:type="dxa"/>
            <w:tcBorders>
              <w:top w:val="nil"/>
              <w:left w:val="nil"/>
              <w:bottom w:val="nil"/>
              <w:right w:val="nil"/>
            </w:tcBorders>
            <w:shd w:val="clear" w:color="000000" w:fill="FFFFFF"/>
            <w:noWrap/>
            <w:vAlign w:val="center"/>
            <w:hideMark/>
          </w:tcPr>
          <w:p w:rsidR="000C3BC0" w:rsidRPr="00914237" w:rsidRDefault="000C3BC0" w:rsidP="000C3BC0">
            <w:pPr>
              <w:rPr>
                <w:rFonts w:ascii="Arial" w:eastAsia="Times New Roman" w:hAnsi="Arial" w:cs="Arial"/>
                <w:color w:val="000000"/>
                <w:sz w:val="26"/>
                <w:szCs w:val="26"/>
                <w:lang w:val="es-MX" w:eastAsia="es-ES_tradnl"/>
              </w:rPr>
            </w:pPr>
            <w:r w:rsidRPr="00914237">
              <w:rPr>
                <w:rFonts w:ascii="Arial" w:eastAsia="Times New Roman" w:hAnsi="Arial" w:cs="Arial"/>
                <w:color w:val="000000"/>
                <w:sz w:val="26"/>
                <w:szCs w:val="26"/>
                <w:lang w:val="es-MX" w:eastAsia="es-ES_tradnl"/>
              </w:rPr>
              <w:t> </w:t>
            </w:r>
          </w:p>
        </w:tc>
        <w:tc>
          <w:tcPr>
            <w:tcW w:w="2033"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881"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881"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537"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r>
      <w:tr w:rsidR="000C3BC0" w:rsidRPr="00914237" w:rsidTr="000C3BC0">
        <w:trPr>
          <w:trHeight w:val="1071"/>
          <w:jc w:val="center"/>
        </w:trPr>
        <w:tc>
          <w:tcPr>
            <w:tcW w:w="2789"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PARTIDO</w:t>
            </w:r>
          </w:p>
        </w:tc>
        <w:tc>
          <w:tcPr>
            <w:tcW w:w="2033"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ACTIVIDADES ESPECÍFICAS</w:t>
            </w:r>
          </w:p>
        </w:tc>
        <w:tc>
          <w:tcPr>
            <w:tcW w:w="1881"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FUNDACIONES</w:t>
            </w:r>
          </w:p>
        </w:tc>
        <w:tc>
          <w:tcPr>
            <w:tcW w:w="1881"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CAPACITACIÓN Y LIDERAZGO POLÍTICO DE LAS MUJERES</w:t>
            </w:r>
          </w:p>
        </w:tc>
        <w:tc>
          <w:tcPr>
            <w:tcW w:w="1537"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w:eastAsia="Times New Roman" w:hAnsi="Barlow" w:cs="Calibri"/>
                <w:b/>
                <w:bCs/>
                <w:color w:val="FFFFFF"/>
                <w:lang w:val="es-MX" w:eastAsia="es-ES_tradnl"/>
              </w:rPr>
            </w:pPr>
            <w:r w:rsidRPr="00914237">
              <w:rPr>
                <w:rFonts w:ascii="Barlow" w:eastAsia="Times New Roman" w:hAnsi="Barlow" w:cs="Calibri"/>
                <w:b/>
                <w:bCs/>
                <w:color w:val="FFFFFF"/>
                <w:lang w:val="es-MX" w:eastAsia="es-ES_tradnl"/>
              </w:rPr>
              <w:t>Suma</w:t>
            </w:r>
          </w:p>
        </w:tc>
      </w:tr>
      <w:tr w:rsidR="000C3BC0" w:rsidRPr="00914237" w:rsidTr="000C3BC0">
        <w:trPr>
          <w:trHeight w:val="248"/>
          <w:jc w:val="center"/>
        </w:trPr>
        <w:tc>
          <w:tcPr>
            <w:tcW w:w="2789" w:type="dxa"/>
            <w:tcBorders>
              <w:top w:val="single" w:sz="8" w:space="0" w:color="auto"/>
              <w:left w:val="single" w:sz="8" w:space="0" w:color="auto"/>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PARTIDO ACCIÓN NACIONAL (PAN)</w:t>
            </w:r>
          </w:p>
        </w:tc>
        <w:tc>
          <w:tcPr>
            <w:tcW w:w="2033" w:type="dxa"/>
            <w:tcBorders>
              <w:top w:val="single" w:sz="8" w:space="0" w:color="auto"/>
              <w:left w:val="nil"/>
              <w:bottom w:val="single" w:sz="8" w:space="0" w:color="000000"/>
              <w:right w:val="single" w:sz="8" w:space="0" w:color="000000"/>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1,608,430.5 </w:t>
            </w:r>
          </w:p>
        </w:tc>
        <w:tc>
          <w:tcPr>
            <w:tcW w:w="1881" w:type="dxa"/>
            <w:tcBorders>
              <w:top w:val="single" w:sz="8" w:space="0" w:color="auto"/>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single" w:sz="8" w:space="0" w:color="auto"/>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1,608,430.5 </w:t>
            </w:r>
          </w:p>
        </w:tc>
      </w:tr>
      <w:tr w:rsidR="000C3BC0" w:rsidRPr="00914237" w:rsidTr="000C3BC0">
        <w:trPr>
          <w:trHeight w:val="481"/>
          <w:jc w:val="center"/>
        </w:trPr>
        <w:tc>
          <w:tcPr>
            <w:tcW w:w="2789" w:type="dxa"/>
            <w:tcBorders>
              <w:top w:val="nil"/>
              <w:left w:val="single" w:sz="8" w:space="0" w:color="auto"/>
              <w:bottom w:val="nil"/>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PARTIDO DE LA REVOLUCIÓN DEMOCRÁTICA (PRD)</w:t>
            </w:r>
          </w:p>
        </w:tc>
        <w:tc>
          <w:tcPr>
            <w:tcW w:w="2033" w:type="dxa"/>
            <w:tcBorders>
              <w:top w:val="nil"/>
              <w:left w:val="nil"/>
              <w:bottom w:val="nil"/>
              <w:right w:val="single" w:sz="8" w:space="0" w:color="000000"/>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412,550.6 </w:t>
            </w:r>
          </w:p>
        </w:tc>
        <w:tc>
          <w:tcPr>
            <w:tcW w:w="1881" w:type="dxa"/>
            <w:tcBorders>
              <w:top w:val="nil"/>
              <w:left w:val="nil"/>
              <w:bottom w:val="nil"/>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nil"/>
              <w:left w:val="nil"/>
              <w:bottom w:val="nil"/>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412,550.6 </w:t>
            </w:r>
          </w:p>
        </w:tc>
      </w:tr>
      <w:tr w:rsidR="000C3BC0" w:rsidRPr="00914237" w:rsidTr="000C3BC0">
        <w:trPr>
          <w:trHeight w:val="481"/>
          <w:jc w:val="center"/>
        </w:trPr>
        <w:tc>
          <w:tcPr>
            <w:tcW w:w="2789" w:type="dxa"/>
            <w:tcBorders>
              <w:top w:val="single" w:sz="8" w:space="0" w:color="auto"/>
              <w:left w:val="single" w:sz="8" w:space="0" w:color="auto"/>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PARTIDO MOVIMIENTO DE REGENERACIÓN NACIONAL (MORENA)</w:t>
            </w:r>
          </w:p>
        </w:tc>
        <w:tc>
          <w:tcPr>
            <w:tcW w:w="2033" w:type="dxa"/>
            <w:tcBorders>
              <w:top w:val="single" w:sz="8" w:space="0" w:color="auto"/>
              <w:left w:val="nil"/>
              <w:bottom w:val="single" w:sz="8" w:space="0" w:color="auto"/>
              <w:right w:val="single" w:sz="8" w:space="0" w:color="000000"/>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1,170,953.4 </w:t>
            </w:r>
          </w:p>
        </w:tc>
        <w:tc>
          <w:tcPr>
            <w:tcW w:w="1881" w:type="dxa"/>
            <w:tcBorders>
              <w:top w:val="single" w:sz="8" w:space="0" w:color="auto"/>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single" w:sz="8" w:space="0" w:color="auto"/>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1,170,953.4 </w:t>
            </w:r>
          </w:p>
        </w:tc>
      </w:tr>
      <w:tr w:rsidR="000C3BC0" w:rsidRPr="00914237" w:rsidTr="000C3BC0">
        <w:trPr>
          <w:trHeight w:val="248"/>
          <w:jc w:val="center"/>
        </w:trPr>
        <w:tc>
          <w:tcPr>
            <w:tcW w:w="2789" w:type="dxa"/>
            <w:tcBorders>
              <w:top w:val="nil"/>
              <w:left w:val="single" w:sz="8" w:space="0" w:color="auto"/>
              <w:bottom w:val="single" w:sz="8" w:space="0" w:color="auto"/>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PARTIDO NUEVA ALIANZA (PANAL)</w:t>
            </w:r>
          </w:p>
        </w:tc>
        <w:tc>
          <w:tcPr>
            <w:tcW w:w="2033" w:type="dxa"/>
            <w:tcBorders>
              <w:top w:val="nil"/>
              <w:left w:val="single" w:sz="8" w:space="0" w:color="auto"/>
              <w:bottom w:val="single" w:sz="8" w:space="0" w:color="auto"/>
              <w:right w:val="single" w:sz="8" w:space="0" w:color="auto"/>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380,341.5 </w:t>
            </w:r>
          </w:p>
        </w:tc>
        <w:tc>
          <w:tcPr>
            <w:tcW w:w="1881" w:type="dxa"/>
            <w:tcBorders>
              <w:top w:val="nil"/>
              <w:left w:val="nil"/>
              <w:bottom w:val="single" w:sz="8" w:space="0" w:color="auto"/>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nil"/>
              <w:left w:val="nil"/>
              <w:bottom w:val="single" w:sz="8" w:space="0" w:color="auto"/>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380,341.5 </w:t>
            </w:r>
          </w:p>
        </w:tc>
      </w:tr>
      <w:tr w:rsidR="000C3BC0" w:rsidRPr="00914237" w:rsidTr="000C3BC0">
        <w:trPr>
          <w:trHeight w:val="481"/>
          <w:jc w:val="center"/>
        </w:trPr>
        <w:tc>
          <w:tcPr>
            <w:tcW w:w="2789" w:type="dxa"/>
            <w:tcBorders>
              <w:top w:val="nil"/>
              <w:left w:val="single" w:sz="8" w:space="0" w:color="auto"/>
              <w:bottom w:val="single" w:sz="8" w:space="0" w:color="auto"/>
              <w:right w:val="nil"/>
            </w:tcBorders>
            <w:shd w:val="clear" w:color="000000" w:fill="F2F2F2"/>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PARTIDO REVOLUCIONARIO INSTITUCIONAL (PRI)</w:t>
            </w:r>
          </w:p>
        </w:tc>
        <w:tc>
          <w:tcPr>
            <w:tcW w:w="2033" w:type="dxa"/>
            <w:tcBorders>
              <w:top w:val="nil"/>
              <w:left w:val="single" w:sz="8" w:space="0" w:color="auto"/>
              <w:bottom w:val="single" w:sz="8" w:space="0" w:color="auto"/>
              <w:right w:val="single" w:sz="8" w:space="0" w:color="auto"/>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1,688,721.4 </w:t>
            </w:r>
          </w:p>
        </w:tc>
        <w:tc>
          <w:tcPr>
            <w:tcW w:w="1881" w:type="dxa"/>
            <w:tcBorders>
              <w:top w:val="nil"/>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nil"/>
              <w:left w:val="nil"/>
              <w:bottom w:val="single" w:sz="8" w:space="0" w:color="auto"/>
              <w:right w:val="single" w:sz="8" w:space="0" w:color="000000"/>
            </w:tcBorders>
            <w:shd w:val="clear" w:color="000000" w:fill="F2F2F2"/>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000000" w:fill="F2F2F2"/>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1,688,721.4 </w:t>
            </w:r>
          </w:p>
        </w:tc>
      </w:tr>
      <w:tr w:rsidR="000C3BC0" w:rsidRPr="00914237" w:rsidTr="000C3BC0">
        <w:trPr>
          <w:trHeight w:val="481"/>
          <w:jc w:val="center"/>
        </w:trPr>
        <w:tc>
          <w:tcPr>
            <w:tcW w:w="2789" w:type="dxa"/>
            <w:tcBorders>
              <w:top w:val="nil"/>
              <w:left w:val="single" w:sz="8" w:space="0" w:color="auto"/>
              <w:bottom w:val="single" w:sz="8" w:space="0" w:color="auto"/>
              <w:right w:val="nil"/>
            </w:tcBorders>
            <w:shd w:val="clear" w:color="auto" w:fill="auto"/>
            <w:vAlign w:val="center"/>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PARTIDO VERDE ECOLOGISTA DE MÉXICO(PVEM)</w:t>
            </w:r>
          </w:p>
        </w:tc>
        <w:tc>
          <w:tcPr>
            <w:tcW w:w="2033" w:type="dxa"/>
            <w:tcBorders>
              <w:top w:val="nil"/>
              <w:left w:val="single" w:sz="8" w:space="0" w:color="auto"/>
              <w:bottom w:val="single" w:sz="8" w:space="0" w:color="auto"/>
              <w:right w:val="single" w:sz="8" w:space="0" w:color="auto"/>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432,988.4 </w:t>
            </w:r>
          </w:p>
        </w:tc>
        <w:tc>
          <w:tcPr>
            <w:tcW w:w="1881" w:type="dxa"/>
            <w:tcBorders>
              <w:top w:val="nil"/>
              <w:left w:val="nil"/>
              <w:bottom w:val="single" w:sz="8" w:space="0" w:color="auto"/>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881" w:type="dxa"/>
            <w:tcBorders>
              <w:top w:val="nil"/>
              <w:left w:val="nil"/>
              <w:bottom w:val="single" w:sz="8" w:space="0" w:color="auto"/>
              <w:right w:val="single" w:sz="8" w:space="0" w:color="000000"/>
            </w:tcBorders>
            <w:shd w:val="clear" w:color="auto" w:fill="auto"/>
            <w:vAlign w:val="center"/>
            <w:hideMark/>
          </w:tcPr>
          <w:p w:rsidR="000C3BC0" w:rsidRPr="00914237" w:rsidRDefault="000C3BC0" w:rsidP="000C3BC0">
            <w:pPr>
              <w:rPr>
                <w:rFonts w:ascii="Barlow" w:eastAsia="Times New Roman" w:hAnsi="Barlow" w:cs="Calibri"/>
                <w:color w:val="FF0000"/>
                <w:sz w:val="22"/>
                <w:szCs w:val="22"/>
                <w:lang w:val="es-MX" w:eastAsia="es-ES_tradnl"/>
              </w:rPr>
            </w:pPr>
            <w:r w:rsidRPr="00914237">
              <w:rPr>
                <w:rFonts w:ascii="Barlow" w:eastAsia="Times New Roman" w:hAnsi="Barlow" w:cs="Calibri"/>
                <w:color w:val="FF0000"/>
                <w:sz w:val="22"/>
                <w:szCs w:val="22"/>
                <w:lang w:val="es-MX" w:eastAsia="es-ES_tradnl"/>
              </w:rPr>
              <w:t xml:space="preserve">                                        -   </w:t>
            </w:r>
          </w:p>
        </w:tc>
        <w:tc>
          <w:tcPr>
            <w:tcW w:w="1537" w:type="dxa"/>
            <w:tcBorders>
              <w:top w:val="nil"/>
              <w:left w:val="nil"/>
              <w:bottom w:val="single" w:sz="8" w:space="0" w:color="000000"/>
              <w:right w:val="single" w:sz="8" w:space="0" w:color="000000"/>
            </w:tcBorders>
            <w:shd w:val="clear" w:color="auto" w:fill="auto"/>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432,988.4 </w:t>
            </w:r>
          </w:p>
        </w:tc>
      </w:tr>
      <w:tr w:rsidR="000C3BC0" w:rsidRPr="00914237" w:rsidTr="000C3BC0">
        <w:trPr>
          <w:trHeight w:val="294"/>
          <w:jc w:val="center"/>
        </w:trPr>
        <w:tc>
          <w:tcPr>
            <w:tcW w:w="2789"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TOTAL</w:t>
            </w:r>
          </w:p>
        </w:tc>
        <w:tc>
          <w:tcPr>
            <w:tcW w:w="2033"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5,693,985.7 </w:t>
            </w:r>
          </w:p>
        </w:tc>
        <w:tc>
          <w:tcPr>
            <w:tcW w:w="1881"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   </w:t>
            </w:r>
          </w:p>
        </w:tc>
        <w:tc>
          <w:tcPr>
            <w:tcW w:w="1881"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   </w:t>
            </w:r>
          </w:p>
        </w:tc>
        <w:tc>
          <w:tcPr>
            <w:tcW w:w="1537"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5,693,985.7 </w:t>
            </w:r>
          </w:p>
        </w:tc>
      </w:tr>
    </w:tbl>
    <w:p w:rsidR="000C3BC0" w:rsidRDefault="000C3BC0" w:rsidP="000C3BC0"/>
    <w:p w:rsidR="000C3BC0" w:rsidRDefault="000C3BC0" w:rsidP="000C3BC0"/>
    <w:tbl>
      <w:tblPr>
        <w:tblW w:w="9904" w:type="dxa"/>
        <w:tblCellMar>
          <w:left w:w="70" w:type="dxa"/>
          <w:right w:w="70" w:type="dxa"/>
        </w:tblCellMar>
        <w:tblLook w:val="04A0"/>
      </w:tblPr>
      <w:tblGrid>
        <w:gridCol w:w="1228"/>
        <w:gridCol w:w="1382"/>
        <w:gridCol w:w="1212"/>
        <w:gridCol w:w="1298"/>
        <w:gridCol w:w="1146"/>
        <w:gridCol w:w="1280"/>
        <w:gridCol w:w="1192"/>
        <w:gridCol w:w="1306"/>
      </w:tblGrid>
      <w:tr w:rsidR="000C3BC0" w:rsidRPr="00914237" w:rsidTr="000C3BC0">
        <w:trPr>
          <w:trHeight w:val="261"/>
        </w:trPr>
        <w:tc>
          <w:tcPr>
            <w:tcW w:w="9904" w:type="dxa"/>
            <w:gridSpan w:val="8"/>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11f</w:t>
            </w:r>
          </w:p>
        </w:tc>
      </w:tr>
      <w:tr w:rsidR="000C3BC0" w:rsidRPr="00914237" w:rsidTr="000C3BC0">
        <w:trPr>
          <w:trHeight w:val="261"/>
        </w:trPr>
        <w:tc>
          <w:tcPr>
            <w:tcW w:w="9904" w:type="dxa"/>
            <w:gridSpan w:val="8"/>
            <w:tcBorders>
              <w:top w:val="nil"/>
              <w:left w:val="nil"/>
              <w:bottom w:val="nil"/>
              <w:right w:val="nil"/>
            </w:tcBorders>
            <w:shd w:val="clear" w:color="000000" w:fill="FFFFFF"/>
            <w:noWrap/>
            <w:vAlign w:val="center"/>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11f Calendario de Entrega de Prerrogativas a Partidos Políticos</w:t>
            </w:r>
          </w:p>
        </w:tc>
      </w:tr>
      <w:tr w:rsidR="000C3BC0" w:rsidRPr="00914237" w:rsidTr="000C3BC0">
        <w:trPr>
          <w:trHeight w:val="218"/>
        </w:trPr>
        <w:tc>
          <w:tcPr>
            <w:tcW w:w="1560"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727"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213"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326"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213"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326"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213"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326"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r>
      <w:tr w:rsidR="000C3BC0" w:rsidRPr="00914237" w:rsidTr="000C3BC0">
        <w:trPr>
          <w:trHeight w:val="218"/>
        </w:trPr>
        <w:tc>
          <w:tcPr>
            <w:tcW w:w="1560"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Mes / Partido Político</w:t>
            </w:r>
          </w:p>
        </w:tc>
        <w:tc>
          <w:tcPr>
            <w:tcW w:w="727"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PAN</w:t>
            </w:r>
          </w:p>
        </w:tc>
        <w:tc>
          <w:tcPr>
            <w:tcW w:w="1213"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PRD</w:t>
            </w:r>
          </w:p>
        </w:tc>
        <w:tc>
          <w:tcPr>
            <w:tcW w:w="1326"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MORENA</w:t>
            </w:r>
          </w:p>
        </w:tc>
        <w:tc>
          <w:tcPr>
            <w:tcW w:w="1213"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PANAL</w:t>
            </w:r>
          </w:p>
        </w:tc>
        <w:tc>
          <w:tcPr>
            <w:tcW w:w="1326"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PRI</w:t>
            </w:r>
          </w:p>
        </w:tc>
        <w:tc>
          <w:tcPr>
            <w:tcW w:w="1213"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PVEM</w:t>
            </w:r>
          </w:p>
        </w:tc>
        <w:tc>
          <w:tcPr>
            <w:tcW w:w="1326" w:type="dxa"/>
            <w:tcBorders>
              <w:top w:val="single" w:sz="4" w:space="0" w:color="000000"/>
              <w:left w:val="single" w:sz="4" w:space="0" w:color="000000"/>
              <w:bottom w:val="nil"/>
              <w:right w:val="nil"/>
            </w:tcBorders>
            <w:shd w:val="clear" w:color="000000" w:fill="16365C"/>
            <w:vAlign w:val="center"/>
            <w:hideMark/>
          </w:tcPr>
          <w:p w:rsidR="000C3BC0" w:rsidRPr="00914237" w:rsidRDefault="000C3BC0" w:rsidP="000C3BC0">
            <w:pPr>
              <w:jc w:val="center"/>
              <w:rPr>
                <w:rFonts w:ascii="Barlow Medium" w:eastAsia="Times New Roman" w:hAnsi="Barlow Medium" w:cs="Calibri"/>
                <w:b/>
                <w:bCs/>
                <w:color w:val="FFFFFF"/>
                <w:sz w:val="22"/>
                <w:szCs w:val="22"/>
                <w:lang w:val="es-MX" w:eastAsia="es-ES_tradnl"/>
              </w:rPr>
            </w:pPr>
            <w:r w:rsidRPr="00914237">
              <w:rPr>
                <w:rFonts w:ascii="Barlow Medium" w:eastAsia="Times New Roman" w:hAnsi="Barlow Medium" w:cs="Calibri"/>
                <w:b/>
                <w:bCs/>
                <w:color w:val="FFFFFF"/>
                <w:sz w:val="22"/>
                <w:szCs w:val="22"/>
                <w:lang w:val="es-MX" w:eastAsia="es-ES_tradnl"/>
              </w:rPr>
              <w:t>SUMA</w:t>
            </w:r>
          </w:p>
        </w:tc>
      </w:tr>
      <w:tr w:rsidR="000C3BC0" w:rsidRPr="00914237" w:rsidTr="000C3BC0">
        <w:trPr>
          <w:trHeight w:val="218"/>
        </w:trPr>
        <w:tc>
          <w:tcPr>
            <w:tcW w:w="156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Enero</w:t>
            </w:r>
          </w:p>
        </w:tc>
        <w:tc>
          <w:tcPr>
            <w:tcW w:w="727"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single" w:sz="4" w:space="0" w:color="auto"/>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Febrero</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Marzo</w:t>
            </w:r>
          </w:p>
        </w:tc>
        <w:tc>
          <w:tcPr>
            <w:tcW w:w="727"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Abril</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Mayo</w:t>
            </w:r>
          </w:p>
        </w:tc>
        <w:tc>
          <w:tcPr>
            <w:tcW w:w="727"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Junio</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Julio</w:t>
            </w:r>
          </w:p>
        </w:tc>
        <w:tc>
          <w:tcPr>
            <w:tcW w:w="727"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Agosto</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Septiembre</w:t>
            </w:r>
          </w:p>
        </w:tc>
        <w:tc>
          <w:tcPr>
            <w:tcW w:w="727"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Octubre</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Noviembre</w:t>
            </w:r>
          </w:p>
        </w:tc>
        <w:tc>
          <w:tcPr>
            <w:tcW w:w="727"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w:t>
            </w:r>
            <w:r w:rsidRPr="00914237">
              <w:rPr>
                <w:rFonts w:ascii="Barlow" w:eastAsia="Times New Roman" w:hAnsi="Barlow" w:cs="Calibri"/>
                <w:color w:val="000000"/>
                <w:sz w:val="22"/>
                <w:szCs w:val="22"/>
                <w:lang w:val="es-MX" w:eastAsia="es-ES_tradnl"/>
              </w:rPr>
              <w:lastRenderedPageBreak/>
              <w:t xml:space="preserve">2,048,834.1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 xml:space="preserve">               </w:t>
            </w:r>
            <w:r w:rsidRPr="00914237">
              <w:rPr>
                <w:rFonts w:ascii="Barlow" w:eastAsia="Times New Roman" w:hAnsi="Barlow" w:cs="Calibri"/>
                <w:color w:val="000000"/>
                <w:sz w:val="22"/>
                <w:szCs w:val="22"/>
                <w:lang w:val="es-MX" w:eastAsia="es-ES_tradnl"/>
              </w:rPr>
              <w:lastRenderedPageBreak/>
              <w:t xml:space="preserve">525,510.8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 xml:space="preserve">             </w:t>
            </w:r>
            <w:r w:rsidRPr="00914237">
              <w:rPr>
                <w:rFonts w:ascii="Barlow" w:eastAsia="Times New Roman" w:hAnsi="Barlow" w:cs="Calibri"/>
                <w:color w:val="000000"/>
                <w:sz w:val="22"/>
                <w:szCs w:val="22"/>
                <w:lang w:val="es-MX" w:eastAsia="es-ES_tradnl"/>
              </w:rPr>
              <w:lastRenderedPageBreak/>
              <w:t xml:space="preserve">1,491,571.6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 xml:space="preserve">             </w:t>
            </w:r>
            <w:r w:rsidRPr="00914237">
              <w:rPr>
                <w:rFonts w:ascii="Barlow" w:eastAsia="Times New Roman" w:hAnsi="Barlow" w:cs="Calibri"/>
                <w:color w:val="000000"/>
                <w:sz w:val="22"/>
                <w:szCs w:val="22"/>
                <w:lang w:val="es-MX" w:eastAsia="es-ES_tradnl"/>
              </w:rPr>
              <w:lastRenderedPageBreak/>
              <w:t xml:space="preserve">484,482.6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 xml:space="preserve">              </w:t>
            </w:r>
            <w:r w:rsidRPr="00914237">
              <w:rPr>
                <w:rFonts w:ascii="Barlow" w:eastAsia="Times New Roman" w:hAnsi="Barlow" w:cs="Calibri"/>
                <w:color w:val="000000"/>
                <w:sz w:val="22"/>
                <w:szCs w:val="22"/>
                <w:lang w:val="es-MX" w:eastAsia="es-ES_tradnl"/>
              </w:rPr>
              <w:lastRenderedPageBreak/>
              <w:t xml:space="preserve">2,151,109.3 </w:t>
            </w:r>
          </w:p>
        </w:tc>
        <w:tc>
          <w:tcPr>
            <w:tcW w:w="1213"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 xml:space="preserve">              </w:t>
            </w:r>
            <w:r w:rsidRPr="00914237">
              <w:rPr>
                <w:rFonts w:ascii="Barlow" w:eastAsia="Times New Roman" w:hAnsi="Barlow" w:cs="Calibri"/>
                <w:color w:val="000000"/>
                <w:sz w:val="22"/>
                <w:szCs w:val="22"/>
                <w:lang w:val="es-MX" w:eastAsia="es-ES_tradnl"/>
              </w:rPr>
              <w:lastRenderedPageBreak/>
              <w:t xml:space="preserve">551,544.7 </w:t>
            </w:r>
          </w:p>
        </w:tc>
        <w:tc>
          <w:tcPr>
            <w:tcW w:w="1326" w:type="dxa"/>
            <w:tcBorders>
              <w:top w:val="nil"/>
              <w:left w:val="nil"/>
              <w:bottom w:val="single" w:sz="4" w:space="0" w:color="auto"/>
              <w:right w:val="single" w:sz="4" w:space="0" w:color="auto"/>
            </w:tcBorders>
            <w:shd w:val="clear" w:color="000000" w:fill="F2F2F2"/>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lastRenderedPageBreak/>
              <w:t xml:space="preserve">                   </w:t>
            </w:r>
            <w:r w:rsidRPr="00914237">
              <w:rPr>
                <w:rFonts w:ascii="Barlow" w:eastAsia="Times New Roman" w:hAnsi="Barlow" w:cs="Calibri"/>
                <w:b/>
                <w:bCs/>
                <w:color w:val="000000"/>
                <w:sz w:val="22"/>
                <w:szCs w:val="22"/>
                <w:lang w:val="es-MX" w:eastAsia="es-ES_tradnl"/>
              </w:rPr>
              <w:lastRenderedPageBreak/>
              <w:t xml:space="preserve">7,253,053.2 </w:t>
            </w:r>
          </w:p>
        </w:tc>
      </w:tr>
      <w:tr w:rsidR="000C3BC0" w:rsidRPr="00914237" w:rsidTr="000C3BC0">
        <w:trPr>
          <w:trHeight w:val="21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lastRenderedPageBreak/>
              <w:t>Diciembre</w:t>
            </w:r>
          </w:p>
        </w:tc>
        <w:tc>
          <w:tcPr>
            <w:tcW w:w="727"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2,048,834.1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525,510.8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1,491,571.6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484,482.6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2,151,109.3 </w:t>
            </w:r>
          </w:p>
        </w:tc>
        <w:tc>
          <w:tcPr>
            <w:tcW w:w="1213"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color w:val="000000"/>
                <w:sz w:val="22"/>
                <w:szCs w:val="22"/>
                <w:lang w:val="es-MX" w:eastAsia="es-ES_tradnl"/>
              </w:rPr>
            </w:pPr>
            <w:r w:rsidRPr="00914237">
              <w:rPr>
                <w:rFonts w:ascii="Barlow" w:eastAsia="Times New Roman" w:hAnsi="Barlow" w:cs="Calibri"/>
                <w:color w:val="000000"/>
                <w:sz w:val="22"/>
                <w:szCs w:val="22"/>
                <w:lang w:val="es-MX" w:eastAsia="es-ES_tradnl"/>
              </w:rPr>
              <w:t xml:space="preserve">              551,544.7 </w:t>
            </w:r>
          </w:p>
        </w:tc>
        <w:tc>
          <w:tcPr>
            <w:tcW w:w="132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rPr>
                <w:rFonts w:ascii="Barlow" w:eastAsia="Times New Roman" w:hAnsi="Barlow" w:cs="Calibri"/>
                <w:b/>
                <w:bCs/>
                <w:color w:val="000000"/>
                <w:sz w:val="22"/>
                <w:szCs w:val="22"/>
                <w:lang w:val="es-MX" w:eastAsia="es-ES_tradnl"/>
              </w:rPr>
            </w:pPr>
            <w:r w:rsidRPr="00914237">
              <w:rPr>
                <w:rFonts w:ascii="Barlow" w:eastAsia="Times New Roman" w:hAnsi="Barlow" w:cs="Calibri"/>
                <w:b/>
                <w:bCs/>
                <w:color w:val="000000"/>
                <w:sz w:val="22"/>
                <w:szCs w:val="22"/>
                <w:lang w:val="es-MX" w:eastAsia="es-ES_tradnl"/>
              </w:rPr>
              <w:t xml:space="preserve">                   7,253,053.2 </w:t>
            </w:r>
          </w:p>
        </w:tc>
      </w:tr>
      <w:tr w:rsidR="000C3BC0" w:rsidRPr="00914237" w:rsidTr="000C3BC0">
        <w:trPr>
          <w:trHeight w:val="276"/>
        </w:trPr>
        <w:tc>
          <w:tcPr>
            <w:tcW w:w="1560"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TOTAL</w:t>
            </w:r>
          </w:p>
        </w:tc>
        <w:tc>
          <w:tcPr>
            <w:tcW w:w="727"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24,586,009.5 </w:t>
            </w:r>
          </w:p>
        </w:tc>
        <w:tc>
          <w:tcPr>
            <w:tcW w:w="1213"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6,306,130.0 </w:t>
            </w:r>
          </w:p>
        </w:tc>
        <w:tc>
          <w:tcPr>
            <w:tcW w:w="1326"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17,898,858.9 </w:t>
            </w:r>
          </w:p>
        </w:tc>
        <w:tc>
          <w:tcPr>
            <w:tcW w:w="1213"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5,813,791.0 </w:t>
            </w:r>
          </w:p>
        </w:tc>
        <w:tc>
          <w:tcPr>
            <w:tcW w:w="1326"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25,813,312.2 </w:t>
            </w:r>
          </w:p>
        </w:tc>
        <w:tc>
          <w:tcPr>
            <w:tcW w:w="1213"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6,618,536.5 </w:t>
            </w:r>
          </w:p>
        </w:tc>
        <w:tc>
          <w:tcPr>
            <w:tcW w:w="1326" w:type="dxa"/>
            <w:tcBorders>
              <w:top w:val="single" w:sz="4" w:space="0" w:color="366092"/>
              <w:left w:val="nil"/>
              <w:bottom w:val="single" w:sz="8" w:space="0" w:color="366092"/>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 xml:space="preserve">          87,036,638.1 </w:t>
            </w:r>
          </w:p>
        </w:tc>
      </w:tr>
    </w:tbl>
    <w:p w:rsidR="000C3BC0" w:rsidRDefault="000C3BC0" w:rsidP="000C3BC0"/>
    <w:p w:rsidR="000C3BC0" w:rsidRDefault="000C3BC0" w:rsidP="000C3BC0"/>
    <w:tbl>
      <w:tblPr>
        <w:tblW w:w="9904" w:type="dxa"/>
        <w:tblLayout w:type="fixed"/>
        <w:tblCellMar>
          <w:left w:w="70" w:type="dxa"/>
          <w:right w:w="70" w:type="dxa"/>
        </w:tblCellMar>
        <w:tblLook w:val="04A0"/>
      </w:tblPr>
      <w:tblGrid>
        <w:gridCol w:w="3322"/>
        <w:gridCol w:w="1080"/>
        <w:gridCol w:w="1259"/>
        <w:gridCol w:w="1586"/>
        <w:gridCol w:w="1117"/>
        <w:gridCol w:w="1540"/>
      </w:tblGrid>
      <w:tr w:rsidR="000C3BC0" w:rsidRPr="00914237" w:rsidTr="000C3BC0">
        <w:trPr>
          <w:trHeight w:val="309"/>
        </w:trPr>
        <w:tc>
          <w:tcPr>
            <w:tcW w:w="9904" w:type="dxa"/>
            <w:gridSpan w:val="6"/>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ANEXO 11g</w:t>
            </w:r>
          </w:p>
        </w:tc>
      </w:tr>
      <w:tr w:rsidR="000C3BC0" w:rsidRPr="00914237" w:rsidTr="000C3BC0">
        <w:trPr>
          <w:trHeight w:val="309"/>
        </w:trPr>
        <w:tc>
          <w:tcPr>
            <w:tcW w:w="9904" w:type="dxa"/>
            <w:gridSpan w:val="6"/>
            <w:tcBorders>
              <w:top w:val="nil"/>
              <w:left w:val="nil"/>
              <w:bottom w:val="nil"/>
              <w:right w:val="nil"/>
            </w:tcBorders>
            <w:shd w:val="clear" w:color="000000" w:fill="FFFFFF"/>
            <w:noWrap/>
            <w:vAlign w:val="bottom"/>
            <w:hideMark/>
          </w:tcPr>
          <w:p w:rsidR="000C3BC0" w:rsidRPr="00914237" w:rsidRDefault="000C3BC0" w:rsidP="000C3BC0">
            <w:pPr>
              <w:jc w:val="center"/>
              <w:rPr>
                <w:rFonts w:ascii="Barlow" w:eastAsia="Times New Roman" w:hAnsi="Barlow" w:cs="Calibri"/>
                <w:b/>
                <w:bCs/>
                <w:color w:val="000000"/>
                <w:sz w:val="28"/>
                <w:szCs w:val="28"/>
                <w:lang w:val="es-MX" w:eastAsia="es-ES_tradnl"/>
              </w:rPr>
            </w:pPr>
            <w:r w:rsidRPr="00914237">
              <w:rPr>
                <w:rFonts w:ascii="Barlow" w:eastAsia="Times New Roman" w:hAnsi="Barlow" w:cs="Calibri"/>
                <w:b/>
                <w:bCs/>
                <w:color w:val="000000"/>
                <w:sz w:val="28"/>
                <w:szCs w:val="28"/>
                <w:lang w:val="es-MX" w:eastAsia="es-ES_tradnl"/>
              </w:rPr>
              <w:t>MONTOS ASIGNADOS A FIDEICOMISOS PÚBLICOS</w:t>
            </w:r>
          </w:p>
        </w:tc>
      </w:tr>
      <w:tr w:rsidR="000C3BC0" w:rsidRPr="00914237" w:rsidTr="000C3BC0">
        <w:trPr>
          <w:trHeight w:val="275"/>
        </w:trPr>
        <w:tc>
          <w:tcPr>
            <w:tcW w:w="3322"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080"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259"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586"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117"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c>
          <w:tcPr>
            <w:tcW w:w="1540" w:type="dxa"/>
            <w:tcBorders>
              <w:top w:val="nil"/>
              <w:left w:val="nil"/>
              <w:bottom w:val="nil"/>
              <w:right w:val="nil"/>
            </w:tcBorders>
            <w:shd w:val="clear" w:color="000000" w:fill="FFFFFF"/>
            <w:noWrap/>
            <w:vAlign w:val="bottom"/>
            <w:hideMark/>
          </w:tcPr>
          <w:p w:rsidR="000C3BC0" w:rsidRPr="00914237" w:rsidRDefault="000C3BC0" w:rsidP="000C3BC0">
            <w:pPr>
              <w:rPr>
                <w:rFonts w:ascii="Calibri" w:eastAsia="Times New Roman" w:hAnsi="Calibri" w:cs="Calibri"/>
                <w:color w:val="000000"/>
                <w:sz w:val="22"/>
                <w:szCs w:val="22"/>
                <w:lang w:val="es-MX" w:eastAsia="es-ES_tradnl"/>
              </w:rPr>
            </w:pPr>
            <w:r w:rsidRPr="00914237">
              <w:rPr>
                <w:rFonts w:ascii="Calibri" w:eastAsia="Times New Roman" w:hAnsi="Calibri" w:cs="Calibri"/>
                <w:color w:val="000000"/>
                <w:sz w:val="22"/>
                <w:szCs w:val="22"/>
                <w:lang w:val="es-MX" w:eastAsia="es-ES_tradnl"/>
              </w:rPr>
              <w:t> </w:t>
            </w:r>
          </w:p>
        </w:tc>
      </w:tr>
      <w:tr w:rsidR="000C3BC0" w:rsidRPr="00914237" w:rsidTr="000C3BC0">
        <w:trPr>
          <w:trHeight w:val="288"/>
        </w:trPr>
        <w:tc>
          <w:tcPr>
            <w:tcW w:w="3322"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Nombre del Fideicomiso</w:t>
            </w:r>
          </w:p>
        </w:tc>
        <w:tc>
          <w:tcPr>
            <w:tcW w:w="108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Siglas o nombre corto</w:t>
            </w:r>
          </w:p>
        </w:tc>
        <w:tc>
          <w:tcPr>
            <w:tcW w:w="125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Fiduciario / Banco</w:t>
            </w:r>
          </w:p>
        </w:tc>
        <w:tc>
          <w:tcPr>
            <w:tcW w:w="1586"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No. de Contrato</w:t>
            </w:r>
          </w:p>
        </w:tc>
        <w:tc>
          <w:tcPr>
            <w:tcW w:w="1117"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 xml:space="preserve"> Saldo  </w:t>
            </w:r>
          </w:p>
        </w:tc>
        <w:tc>
          <w:tcPr>
            <w:tcW w:w="154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0C3BC0" w:rsidRPr="00914237" w:rsidRDefault="000C3BC0" w:rsidP="000C3BC0">
            <w:pPr>
              <w:jc w:val="center"/>
              <w:rPr>
                <w:rFonts w:ascii="Barlow" w:eastAsia="Times New Roman" w:hAnsi="Barlow" w:cs="Calibri"/>
                <w:b/>
                <w:bCs/>
                <w:lang w:val="es-MX" w:eastAsia="es-ES_tradnl"/>
              </w:rPr>
            </w:pPr>
            <w:r w:rsidRPr="00914237">
              <w:rPr>
                <w:rFonts w:ascii="Barlow" w:eastAsia="Times New Roman" w:hAnsi="Barlow" w:cs="Calibri"/>
                <w:b/>
                <w:bCs/>
                <w:lang w:val="es-MX" w:eastAsia="es-ES_tradnl"/>
              </w:rPr>
              <w:t>Monto a Transferir en 2019</w:t>
            </w:r>
          </w:p>
        </w:tc>
      </w:tr>
      <w:tr w:rsidR="000C3BC0" w:rsidRPr="00914237" w:rsidTr="000C3BC0">
        <w:trPr>
          <w:trHeight w:val="515"/>
        </w:trPr>
        <w:tc>
          <w:tcPr>
            <w:tcW w:w="3322"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color w:val="000000"/>
                <w:lang w:val="es-MX" w:eastAsia="es-ES_tradnl"/>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color w:val="000000"/>
                <w:lang w:val="es-MX" w:eastAsia="es-ES_tradnl"/>
              </w:rPr>
            </w:pPr>
          </w:p>
        </w:tc>
        <w:tc>
          <w:tcPr>
            <w:tcW w:w="1586"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color w:val="000000"/>
                <w:lang w:val="es-MX" w:eastAsia="es-ES_tradnl"/>
              </w:rPr>
            </w:pPr>
          </w:p>
        </w:tc>
        <w:tc>
          <w:tcPr>
            <w:tcW w:w="1117"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color w:val="000000"/>
                <w:lang w:val="es-MX" w:eastAsia="es-ES_tradnl"/>
              </w:rPr>
            </w:pPr>
          </w:p>
        </w:tc>
        <w:tc>
          <w:tcPr>
            <w:tcW w:w="1540" w:type="dxa"/>
            <w:vMerge/>
            <w:tcBorders>
              <w:top w:val="single" w:sz="8" w:space="0" w:color="auto"/>
              <w:left w:val="single" w:sz="8" w:space="0" w:color="auto"/>
              <w:bottom w:val="single" w:sz="8" w:space="0" w:color="000000"/>
              <w:right w:val="single" w:sz="8" w:space="0" w:color="auto"/>
            </w:tcBorders>
            <w:vAlign w:val="center"/>
            <w:hideMark/>
          </w:tcPr>
          <w:p w:rsidR="000C3BC0" w:rsidRPr="00914237" w:rsidRDefault="000C3BC0" w:rsidP="000C3BC0">
            <w:pPr>
              <w:rPr>
                <w:rFonts w:ascii="Barlow" w:eastAsia="Times New Roman" w:hAnsi="Barlow" w:cs="Calibri"/>
                <w:b/>
                <w:bCs/>
                <w:lang w:val="es-MX" w:eastAsia="es-ES_tradnl"/>
              </w:rPr>
            </w:pPr>
          </w:p>
        </w:tc>
      </w:tr>
      <w:tr w:rsidR="000C3BC0" w:rsidRPr="00914237" w:rsidTr="000C3BC0">
        <w:trPr>
          <w:trHeight w:val="257"/>
        </w:trPr>
        <w:tc>
          <w:tcPr>
            <w:tcW w:w="3322"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Barlow" w:eastAsia="Times New Roman" w:hAnsi="Barlow" w:cs="Calibri"/>
                <w:b/>
                <w:bCs/>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lang w:val="es-MX" w:eastAsia="es-ES_tradnl"/>
              </w:rPr>
            </w:pPr>
            <w:r w:rsidRPr="00914237">
              <w:rPr>
                <w:rFonts w:ascii="Barlow" w:eastAsia="Times New Roman" w:hAnsi="Barlow" w:cs="Calibri"/>
                <w:b/>
                <w:bCs/>
                <w:lang w:val="es-MX" w:eastAsia="es-ES_tradnl"/>
              </w:rPr>
              <w:t xml:space="preserve">Secretaría de Salud </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584"/>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Fideicomiso para la Construcción de la Infraestructura Hospitalaria del Estado de Yucatán  </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Banorte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73745-9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181,958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Fideicomiso para la Construcción del Hospital Regional de Alta Especialidad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Banorte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1929-7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28,058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Fideicomiso para el Programa de Calidad, Equidad y Desarrollo en Salud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PROCEDES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Banorte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73768-8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1,878,253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75"/>
        </w:trPr>
        <w:tc>
          <w:tcPr>
            <w:tcW w:w="3322" w:type="dxa"/>
            <w:tcBorders>
              <w:top w:val="nil"/>
              <w:left w:val="nil"/>
              <w:bottom w:val="nil"/>
              <w:right w:val="nil"/>
            </w:tcBorders>
            <w:shd w:val="clear" w:color="auto" w:fill="auto"/>
            <w:noWrap/>
            <w:vAlign w:val="bottom"/>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lang w:val="es-MX" w:eastAsia="es-ES_tradnl"/>
              </w:rPr>
            </w:pPr>
            <w:r w:rsidRPr="00914237">
              <w:rPr>
                <w:rFonts w:ascii="Barlow" w:eastAsia="Times New Roman" w:hAnsi="Barlow" w:cs="Calibri"/>
                <w:b/>
                <w:bCs/>
                <w:lang w:val="es-MX" w:eastAsia="es-ES_tradnl"/>
              </w:rPr>
              <w:t>Secretaría de Obras Públicas</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584"/>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Fideicomiso Yucateco para la Dignificación y Desarrollo Integral de los Trabajadores de la Construcción </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FYDITRAC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Nacional Financiera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1,708,757,511.00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853,481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lang w:val="es-MX" w:eastAsia="es-ES_tradnl"/>
              </w:rPr>
            </w:pPr>
            <w:r w:rsidRPr="00914237">
              <w:rPr>
                <w:rFonts w:ascii="Barlow" w:eastAsia="Times New Roman" w:hAnsi="Barlow" w:cs="Calibri"/>
                <w:b/>
                <w:bCs/>
                <w:lang w:val="es-MX" w:eastAsia="es-ES_tradnl"/>
              </w:rPr>
              <w:t>Secretaría de Fomento Económico</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Fideicomisos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Integral para el Desarrollo Económico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FIDEY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Nacional Financiera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80159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34,035,390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4,000,000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Fideicomiso Proyecto Puesta en Marcha y Construcción de </w:t>
            </w:r>
            <w:r w:rsidRPr="00914237">
              <w:rPr>
                <w:rFonts w:ascii="Barlow" w:eastAsia="Times New Roman" w:hAnsi="Barlow" w:cs="Calibri"/>
                <w:color w:val="000000"/>
                <w:lang w:val="es-MX" w:eastAsia="es-ES_tradnl"/>
              </w:rPr>
              <w:lastRenderedPageBreak/>
              <w:t>la Fase A de la Primera Etapa del Centro de Cargas Aeropuerto de Valladolid</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lastRenderedPageBreak/>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Santander</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2003626</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lastRenderedPageBreak/>
              <w:t>Fondos</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lang w:val="es-MX" w:eastAsia="es-ES_tradnl"/>
              </w:rPr>
            </w:pPr>
            <w:r w:rsidRPr="00914237">
              <w:rPr>
                <w:rFonts w:ascii="Barlow" w:eastAsia="Times New Roman" w:hAnsi="Barlow" w:cs="Calibri"/>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para la Consolidación y Fomento del Empleo Permanente del Estado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Bancomer</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2028439516</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877"/>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Promoción y Fomento a las Empresas en el Estado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FOPROFEY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Banamex</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Acuerdo No. 34 del 22 de diciembre de 2003</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1,159,485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251,924,182.00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Fomento Turístico</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584"/>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Fideicomiso de Administración e Inversión para la Promoción y Fomento al Desarrollo Turístico y Económico de Yucatán</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FIPROTUY</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Banobras</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73630-4</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7,852,959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53,898,698.00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General de Gobierno</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Fideicomisos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Fideicomiso para la Administración del Fondo de Apoyo a Víctimas del Delito</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FFAVID</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75"/>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Fondos</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Aportaciones para la Seguridad Pública</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FASP</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Banorte</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0263586367      0263586376</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13,953,881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lang w:val="es-MX" w:eastAsia="es-ES_tradnl"/>
              </w:rPr>
            </w:pPr>
            <w:r w:rsidRPr="00914237">
              <w:rPr>
                <w:rFonts w:ascii="Barlow" w:eastAsia="Times New Roman" w:hAnsi="Barlow" w:cs="Calibri"/>
                <w:lang w:val="es-MX" w:eastAsia="es-ES_tradnl"/>
              </w:rPr>
              <w:t xml:space="preserve">     182,941,206.00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para la Atención de Emergencias y Desastres</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FAED</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10,128,956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lang w:val="es-MX" w:eastAsia="es-ES_tradnl"/>
              </w:rPr>
            </w:pPr>
            <w:r w:rsidRPr="00914237">
              <w:rPr>
                <w:rFonts w:ascii="Barlow" w:eastAsia="Times New Roman" w:hAnsi="Barlow" w:cs="Calibri"/>
                <w:lang w:val="es-MX" w:eastAsia="es-ES_tradnl"/>
              </w:rPr>
              <w:t xml:space="preserve">       20,000,000.00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Desarrollo Urbano y Medio Ambiente</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Fondo Metropolitano de </w:t>
            </w:r>
            <w:r w:rsidRPr="00914237">
              <w:rPr>
                <w:rFonts w:ascii="Barlow" w:eastAsia="Times New Roman" w:hAnsi="Barlow" w:cs="Calibri"/>
                <w:color w:val="000000"/>
                <w:lang w:val="es-MX" w:eastAsia="es-ES_tradnl"/>
              </w:rPr>
              <w:lastRenderedPageBreak/>
              <w:t>Yucatán</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lastRenderedPageBreak/>
              <w:t>FOMEY</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Banobras</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FID-2143</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4,724,03</w:t>
            </w:r>
            <w:r w:rsidRPr="00914237">
              <w:rPr>
                <w:rFonts w:ascii="Barlow" w:eastAsia="Times New Roman" w:hAnsi="Barlow" w:cs="Calibri"/>
                <w:color w:val="000000"/>
                <w:lang w:val="es-MX" w:eastAsia="es-ES_tradnl"/>
              </w:rPr>
              <w:lastRenderedPageBreak/>
              <w:t xml:space="preserve">0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lastRenderedPageBreak/>
              <w:t xml:space="preserve">       </w:t>
            </w:r>
            <w:r w:rsidRPr="00914237">
              <w:rPr>
                <w:rFonts w:ascii="Barlow" w:eastAsia="Times New Roman" w:hAnsi="Barlow" w:cs="Calibri"/>
                <w:lang w:val="es-MX" w:eastAsia="es-ES_tradnl"/>
              </w:rPr>
              <w:lastRenderedPageBreak/>
              <w:t xml:space="preserve">28,497,037.00 </w:t>
            </w:r>
          </w:p>
        </w:tc>
      </w:tr>
      <w:tr w:rsidR="000C3BC0" w:rsidRPr="00914237" w:rsidTr="000C3BC0">
        <w:trPr>
          <w:trHeight w:val="1328"/>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lastRenderedPageBreak/>
              <w:t>FIAMBIYUC</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FIAMBIYUC</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Financiera Nacional de Desarrollo Agropecuario Rural, Forestal y Pesquero</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6231014144</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1,078,504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         7,400,000.00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Educación Pública</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Fideicomisos SEGEY</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Programa de Becas Nacionales para la Educación Superior de Manutención en Yucatán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Banamex</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17891-6</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11,676,841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75,000,000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Vivienda Magisterio</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Santander</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F/2112177</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9,118,504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Fideicomisos IDEY</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760"/>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Fideicomiso de Alto Rendimiento Deportivo de Yucatán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No se cuenta con información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         1,200,000.00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Investigación, Innovación y Educación Superior</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Fideicomisos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Mixto CONACYT-Gobierno del Estado</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Nacional Financiera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1100/118/02 FONMIX29/08</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184,656,991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10,000,000 </w:t>
            </w:r>
          </w:p>
        </w:tc>
      </w:tr>
      <w:tr w:rsidR="000C3BC0" w:rsidRPr="00914237" w:rsidTr="000C3BC0">
        <w:trPr>
          <w:trHeight w:val="275"/>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Fondos</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para Emprendedores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FONDEY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Scotia Bank</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1708768039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1,624,196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2,000,000 </w:t>
            </w:r>
          </w:p>
        </w:tc>
      </w:tr>
      <w:tr w:rsidR="000C3BC0" w:rsidRPr="00914237" w:rsidTr="000C3BC0">
        <w:trPr>
          <w:trHeight w:val="877"/>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Yucateco a la Innovación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7,000,000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color w:val="000000"/>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Administración y Finanzas</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580"/>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PROTEGO F/0002</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F/0002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88,551,562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 </w:t>
            </w:r>
          </w:p>
        </w:tc>
      </w:tr>
      <w:tr w:rsidR="000C3BC0" w:rsidRPr="00914237" w:rsidTr="000C3BC0">
        <w:trPr>
          <w:trHeight w:val="580"/>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PROTEGO F/0007</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F/0007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27,974,584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 </w:t>
            </w:r>
          </w:p>
        </w:tc>
      </w:tr>
      <w:tr w:rsidR="000C3BC0" w:rsidRPr="00914237" w:rsidTr="000C3BC0">
        <w:trPr>
          <w:trHeight w:val="619"/>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PROTEGO F/0019</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F/0019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97,878,780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Fideicomiso de Justicia Penal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F/0173</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PROTEGO 0198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F/0198 </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39,912,140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 </w:t>
            </w:r>
          </w:p>
        </w:tc>
      </w:tr>
      <w:tr w:rsidR="000C3BC0" w:rsidRPr="00914237" w:rsidTr="000C3BC0">
        <w:trPr>
          <w:trHeight w:val="584"/>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PROTEGO F/0199</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Evercore Casa de Bolsa</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F/0199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r>
      <w:tr w:rsidR="000C3BC0" w:rsidRPr="00914237" w:rsidTr="000C3BC0">
        <w:trPr>
          <w:trHeight w:val="889"/>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Fideicomiso para el Desarrollo Regional del Sur Sureste 2050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FIDESUR</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No se cuenta con información</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350,000 </w:t>
            </w: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jc w:val="right"/>
              <w:rPr>
                <w:rFonts w:ascii="Barlow" w:eastAsia="Times New Roman" w:hAnsi="Barlow" w:cs="Calibri"/>
                <w:color w:val="000000"/>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Secretaría de Desarrollo Rural</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92"/>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Fondos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FF0000"/>
                <w:lang w:val="es-MX" w:eastAsia="es-ES_tradnl"/>
              </w:rPr>
            </w:pPr>
            <w:r w:rsidRPr="00914237">
              <w:rPr>
                <w:rFonts w:ascii="Barlow" w:eastAsia="Times New Roman" w:hAnsi="Barlow" w:cs="Calibri"/>
                <w:color w:val="FF0000"/>
                <w:lang w:val="es-MX" w:eastAsia="es-ES_tradnl"/>
              </w:rPr>
              <w:t> </w:t>
            </w:r>
          </w:p>
        </w:tc>
      </w:tr>
      <w:tr w:rsidR="000C3BC0" w:rsidRPr="00914237" w:rsidTr="000C3BC0">
        <w:trPr>
          <w:trHeight w:val="877"/>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Fomento Agropecuario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FOFAY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Grupo Financiero Interacciones</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2373</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     253,663,125.00 </w:t>
            </w:r>
          </w:p>
        </w:tc>
      </w:tr>
      <w:tr w:rsidR="000C3BC0" w:rsidRPr="00914237" w:rsidTr="000C3BC0">
        <w:trPr>
          <w:trHeight w:val="786"/>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jc w:val="both"/>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Apoyo a la Productividad Agropecuaria en el Estado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FOPROYUC</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Banco de Crédito Rural Peninsular</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738023064</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8,842,294.81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786"/>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Crédito Agropecuario y Pesquera de Yucatán</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FOCAPY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Banco de Crédito Rural Peninsular</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633654690</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242,912.18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386"/>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lastRenderedPageBreak/>
              <w:t xml:space="preserve">Fondo de Micro Créditos del Estado de Yucatán </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FOMICY</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HSBC-Banorte</w:t>
            </w:r>
          </w:p>
        </w:tc>
        <w:tc>
          <w:tcPr>
            <w:tcW w:w="1586"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282329369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               64,696.17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lang w:val="es-MX" w:eastAsia="es-ES_tradnl"/>
              </w:rPr>
            </w:pPr>
            <w:r w:rsidRPr="00914237">
              <w:rPr>
                <w:rFonts w:ascii="Barlow" w:eastAsia="Times New Roman" w:hAnsi="Barlow" w:cs="Calibri"/>
                <w:lang w:val="es-MX" w:eastAsia="es-ES_tradnl"/>
              </w:rPr>
              <w:t xml:space="preserve">0.00 </w:t>
            </w:r>
          </w:p>
        </w:tc>
      </w:tr>
      <w:tr w:rsidR="000C3BC0" w:rsidRPr="00914237" w:rsidTr="000C3BC0">
        <w:trPr>
          <w:trHeight w:val="275"/>
        </w:trPr>
        <w:tc>
          <w:tcPr>
            <w:tcW w:w="3322" w:type="dxa"/>
            <w:tcBorders>
              <w:top w:val="nil"/>
              <w:left w:val="nil"/>
              <w:bottom w:val="nil"/>
              <w:right w:val="nil"/>
            </w:tcBorders>
            <w:shd w:val="clear" w:color="auto" w:fill="auto"/>
            <w:noWrap/>
            <w:vAlign w:val="bottom"/>
            <w:hideMark/>
          </w:tcPr>
          <w:p w:rsidR="000C3BC0" w:rsidRPr="00914237" w:rsidRDefault="000C3BC0" w:rsidP="000C3BC0">
            <w:pPr>
              <w:jc w:val="right"/>
              <w:rPr>
                <w:rFonts w:ascii="Barlow" w:eastAsia="Times New Roman" w:hAnsi="Barlow" w:cs="Calibri"/>
                <w:lang w:val="es-MX" w:eastAsia="es-ES_tradnl"/>
              </w:rPr>
            </w:pP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275"/>
        </w:trPr>
        <w:tc>
          <w:tcPr>
            <w:tcW w:w="3322" w:type="dxa"/>
            <w:tcBorders>
              <w:top w:val="nil"/>
              <w:left w:val="nil"/>
              <w:bottom w:val="nil"/>
              <w:right w:val="nil"/>
            </w:tcBorders>
            <w:shd w:val="clear" w:color="auto" w:fill="auto"/>
            <w:noWrap/>
            <w:vAlign w:val="center"/>
            <w:hideMark/>
          </w:tcPr>
          <w:p w:rsidR="000C3BC0" w:rsidRPr="00914237" w:rsidRDefault="000C3BC0" w:rsidP="000C3BC0">
            <w:pPr>
              <w:rPr>
                <w:rFonts w:ascii="Barlow" w:eastAsia="Times New Roman" w:hAnsi="Barlow" w:cs="Calibri"/>
                <w:b/>
                <w:bCs/>
                <w:color w:val="000000"/>
                <w:lang w:val="es-MX" w:eastAsia="es-ES_tradnl"/>
              </w:rPr>
            </w:pPr>
            <w:r w:rsidRPr="00914237">
              <w:rPr>
                <w:rFonts w:ascii="Barlow" w:eastAsia="Times New Roman" w:hAnsi="Barlow" w:cs="Calibri"/>
                <w:b/>
                <w:bCs/>
                <w:color w:val="000000"/>
                <w:lang w:val="es-MX" w:eastAsia="es-ES_tradnl"/>
              </w:rPr>
              <w:t>Entes Autónomos</w:t>
            </w:r>
          </w:p>
        </w:tc>
        <w:tc>
          <w:tcPr>
            <w:tcW w:w="1080" w:type="dxa"/>
            <w:tcBorders>
              <w:top w:val="nil"/>
              <w:left w:val="nil"/>
              <w:bottom w:val="nil"/>
              <w:right w:val="nil"/>
            </w:tcBorders>
            <w:shd w:val="clear" w:color="auto" w:fill="auto"/>
            <w:noWrap/>
            <w:vAlign w:val="bottom"/>
            <w:hideMark/>
          </w:tcPr>
          <w:p w:rsidR="000C3BC0" w:rsidRPr="00914237" w:rsidRDefault="000C3BC0" w:rsidP="000C3BC0">
            <w:pPr>
              <w:rPr>
                <w:rFonts w:ascii="Barlow" w:eastAsia="Times New Roman" w:hAnsi="Barlow" w:cs="Calibri"/>
                <w:b/>
                <w:bCs/>
                <w:color w:val="000000"/>
                <w:lang w:val="es-MX" w:eastAsia="es-ES_tradnl"/>
              </w:rPr>
            </w:pPr>
          </w:p>
        </w:tc>
        <w:tc>
          <w:tcPr>
            <w:tcW w:w="1259" w:type="dxa"/>
            <w:tcBorders>
              <w:top w:val="nil"/>
              <w:left w:val="nil"/>
              <w:bottom w:val="nil"/>
              <w:right w:val="nil"/>
            </w:tcBorders>
            <w:shd w:val="clear" w:color="auto" w:fill="auto"/>
            <w:noWrap/>
            <w:vAlign w:val="bottom"/>
            <w:hideMark/>
          </w:tcPr>
          <w:p w:rsidR="000C3BC0" w:rsidRPr="00914237" w:rsidRDefault="000C3BC0" w:rsidP="000C3BC0">
            <w:pPr>
              <w:jc w:val="center"/>
              <w:rPr>
                <w:rFonts w:ascii="Times New Roman" w:eastAsia="Times New Roman" w:hAnsi="Times New Roman" w:cs="Times New Roman"/>
                <w:sz w:val="20"/>
                <w:szCs w:val="20"/>
                <w:lang w:val="es-MX" w:eastAsia="es-ES_tradnl"/>
              </w:rPr>
            </w:pPr>
          </w:p>
        </w:tc>
        <w:tc>
          <w:tcPr>
            <w:tcW w:w="1586"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117"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c>
          <w:tcPr>
            <w:tcW w:w="1540" w:type="dxa"/>
            <w:tcBorders>
              <w:top w:val="nil"/>
              <w:left w:val="nil"/>
              <w:bottom w:val="nil"/>
              <w:right w:val="nil"/>
            </w:tcBorders>
            <w:shd w:val="clear" w:color="auto" w:fill="auto"/>
            <w:noWrap/>
            <w:vAlign w:val="bottom"/>
            <w:hideMark/>
          </w:tcPr>
          <w:p w:rsidR="000C3BC0" w:rsidRPr="00914237" w:rsidRDefault="000C3BC0" w:rsidP="000C3BC0">
            <w:pPr>
              <w:rPr>
                <w:rFonts w:ascii="Times New Roman" w:eastAsia="Times New Roman" w:hAnsi="Times New Roman" w:cs="Times New Roman"/>
                <w:sz w:val="20"/>
                <w:szCs w:val="20"/>
                <w:lang w:val="es-MX" w:eastAsia="es-ES_tradnl"/>
              </w:rPr>
            </w:pPr>
          </w:p>
        </w:tc>
      </w:tr>
      <w:tr w:rsidR="000C3BC0" w:rsidRPr="00914237" w:rsidTr="000C3BC0">
        <w:trPr>
          <w:trHeight w:val="584"/>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Fondo de Becas Repetto Milán</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Becas Repeto Milán</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Santander</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2001393-1</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1,723,281.00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1,596,708.00 </w:t>
            </w:r>
          </w:p>
        </w:tc>
      </w:tr>
      <w:tr w:rsidR="000C3BC0" w:rsidRPr="00914237" w:rsidTr="000C3BC0">
        <w:trPr>
          <w:trHeight w:val="292"/>
        </w:trPr>
        <w:tc>
          <w:tcPr>
            <w:tcW w:w="3322" w:type="dxa"/>
            <w:tcBorders>
              <w:top w:val="nil"/>
              <w:left w:val="single" w:sz="4" w:space="0" w:color="auto"/>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Fideicomiso de Participación Ciudadana</w:t>
            </w:r>
          </w:p>
        </w:tc>
        <w:tc>
          <w:tcPr>
            <w:tcW w:w="108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IEPAC</w:t>
            </w:r>
          </w:p>
        </w:tc>
        <w:tc>
          <w:tcPr>
            <w:tcW w:w="1259"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HSBC</w:t>
            </w:r>
          </w:p>
        </w:tc>
        <w:tc>
          <w:tcPr>
            <w:tcW w:w="1586" w:type="dxa"/>
            <w:tcBorders>
              <w:top w:val="nil"/>
              <w:left w:val="nil"/>
              <w:bottom w:val="single" w:sz="4" w:space="0" w:color="auto"/>
              <w:right w:val="single" w:sz="4" w:space="0" w:color="auto"/>
            </w:tcBorders>
            <w:shd w:val="clear" w:color="auto" w:fill="auto"/>
            <w:noWrap/>
            <w:vAlign w:val="bottom"/>
            <w:hideMark/>
          </w:tcPr>
          <w:p w:rsidR="000C3BC0" w:rsidRPr="00914237" w:rsidRDefault="000C3BC0" w:rsidP="000C3BC0">
            <w:pPr>
              <w:jc w:val="center"/>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250309</w:t>
            </w:r>
          </w:p>
        </w:tc>
        <w:tc>
          <w:tcPr>
            <w:tcW w:w="1117"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4,680,397.69 </w:t>
            </w:r>
          </w:p>
        </w:tc>
        <w:tc>
          <w:tcPr>
            <w:tcW w:w="1540" w:type="dxa"/>
            <w:tcBorders>
              <w:top w:val="nil"/>
              <w:left w:val="nil"/>
              <w:bottom w:val="single" w:sz="4" w:space="0" w:color="auto"/>
              <w:right w:val="single" w:sz="4" w:space="0" w:color="auto"/>
            </w:tcBorders>
            <w:shd w:val="clear" w:color="auto" w:fill="auto"/>
            <w:vAlign w:val="center"/>
            <w:hideMark/>
          </w:tcPr>
          <w:p w:rsidR="000C3BC0" w:rsidRPr="00914237" w:rsidRDefault="000C3BC0" w:rsidP="000C3BC0">
            <w:pPr>
              <w:jc w:val="right"/>
              <w:rPr>
                <w:rFonts w:ascii="Barlow" w:eastAsia="Times New Roman" w:hAnsi="Barlow" w:cs="Calibri"/>
                <w:color w:val="000000"/>
                <w:lang w:val="es-MX" w:eastAsia="es-ES_tradnl"/>
              </w:rPr>
            </w:pPr>
            <w:r w:rsidRPr="00914237">
              <w:rPr>
                <w:rFonts w:ascii="Barlow" w:eastAsia="Times New Roman" w:hAnsi="Barlow" w:cs="Calibri"/>
                <w:color w:val="000000"/>
                <w:lang w:val="es-MX" w:eastAsia="es-ES_tradnl"/>
              </w:rPr>
              <w:t xml:space="preserve">0.00 </w:t>
            </w:r>
          </w:p>
        </w:tc>
      </w:tr>
    </w:tbl>
    <w:p w:rsidR="000C3BC0" w:rsidRDefault="000C3BC0" w:rsidP="000C3BC0"/>
    <w:p w:rsidR="000C3BC0" w:rsidRDefault="000C3BC0" w:rsidP="000C3BC0"/>
    <w:p w:rsidR="000C3BC0" w:rsidRDefault="000C3BC0" w:rsidP="000C3BC0"/>
    <w:p w:rsidR="000C3BC0" w:rsidRDefault="000C3BC0" w:rsidP="000C3BC0"/>
    <w:tbl>
      <w:tblPr>
        <w:tblW w:w="9197" w:type="dxa"/>
        <w:tblCellMar>
          <w:left w:w="70" w:type="dxa"/>
          <w:right w:w="70" w:type="dxa"/>
        </w:tblCellMar>
        <w:tblLook w:val="04A0"/>
      </w:tblPr>
      <w:tblGrid>
        <w:gridCol w:w="6450"/>
        <w:gridCol w:w="2747"/>
      </w:tblGrid>
      <w:tr w:rsidR="000C3BC0" w:rsidRPr="00BB54EF" w:rsidTr="000C3BC0">
        <w:trPr>
          <w:trHeight w:val="299"/>
        </w:trPr>
        <w:tc>
          <w:tcPr>
            <w:tcW w:w="9197" w:type="dxa"/>
            <w:gridSpan w:val="2"/>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ANEXO 12</w:t>
            </w:r>
          </w:p>
        </w:tc>
      </w:tr>
      <w:tr w:rsidR="000C3BC0" w:rsidRPr="00BB54EF" w:rsidTr="000C3BC0">
        <w:trPr>
          <w:trHeight w:val="299"/>
        </w:trPr>
        <w:tc>
          <w:tcPr>
            <w:tcW w:w="9197" w:type="dxa"/>
            <w:gridSpan w:val="2"/>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TRANSFERENCIAS DEL SEGURO POPULAR O PROTECCIÓN SOCIAL EN SALUD</w:t>
            </w:r>
          </w:p>
        </w:tc>
      </w:tr>
      <w:tr w:rsidR="000C3BC0" w:rsidRPr="00BB54EF" w:rsidTr="000C3BC0">
        <w:trPr>
          <w:trHeight w:val="249"/>
        </w:trPr>
        <w:tc>
          <w:tcPr>
            <w:tcW w:w="6450"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2746"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r>
      <w:tr w:rsidR="000C3BC0" w:rsidRPr="00BB54EF" w:rsidTr="000C3BC0">
        <w:trPr>
          <w:trHeight w:val="283"/>
        </w:trPr>
        <w:tc>
          <w:tcPr>
            <w:tcW w:w="6450" w:type="dxa"/>
            <w:tcBorders>
              <w:top w:val="single" w:sz="4" w:space="0" w:color="000000"/>
              <w:left w:val="single" w:sz="4" w:space="0" w:color="000000"/>
              <w:bottom w:val="nil"/>
              <w:right w:val="nil"/>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TRANSFERENCIAS DEL SEGURO POPULAR</w:t>
            </w:r>
          </w:p>
        </w:tc>
        <w:tc>
          <w:tcPr>
            <w:tcW w:w="2746" w:type="dxa"/>
            <w:tcBorders>
              <w:top w:val="single" w:sz="4" w:space="0" w:color="000000"/>
              <w:left w:val="single" w:sz="4" w:space="0" w:color="000000"/>
              <w:bottom w:val="nil"/>
              <w:right w:val="nil"/>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 xml:space="preserve"> IMPORTE </w:t>
            </w:r>
          </w:p>
        </w:tc>
      </w:tr>
      <w:tr w:rsidR="000C3BC0" w:rsidRPr="00BB54EF" w:rsidTr="000C3BC0">
        <w:trPr>
          <w:trHeight w:val="266"/>
        </w:trPr>
        <w:tc>
          <w:tcPr>
            <w:tcW w:w="6450" w:type="dxa"/>
            <w:tcBorders>
              <w:top w:val="nil"/>
              <w:left w:val="nil"/>
              <w:bottom w:val="nil"/>
              <w:right w:val="nil"/>
            </w:tcBorders>
            <w:shd w:val="clear" w:color="auto" w:fill="auto"/>
            <w:noWrap/>
            <w:vAlign w:val="bottom"/>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PROGRAMA DE PROTECCIÓN SOCIAL EN SALUD (SEGURO POPULAR)</w:t>
            </w:r>
          </w:p>
        </w:tc>
        <w:tc>
          <w:tcPr>
            <w:tcW w:w="2746" w:type="dxa"/>
            <w:tcBorders>
              <w:top w:val="nil"/>
              <w:left w:val="nil"/>
              <w:bottom w:val="nil"/>
              <w:right w:val="nil"/>
            </w:tcBorders>
            <w:shd w:val="clear" w:color="auto" w:fill="auto"/>
            <w:noWrap/>
            <w:vAlign w:val="bottom"/>
            <w:hideMark/>
          </w:tcPr>
          <w:p w:rsidR="000C3BC0" w:rsidRPr="00BB54EF" w:rsidRDefault="000C3BC0" w:rsidP="000C3BC0">
            <w:pPr>
              <w:jc w:val="right"/>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 xml:space="preserve">                              962,247,663.0 </w:t>
            </w:r>
          </w:p>
        </w:tc>
      </w:tr>
    </w:tbl>
    <w:p w:rsidR="000C3BC0" w:rsidRDefault="000C3BC0" w:rsidP="000C3BC0"/>
    <w:p w:rsidR="000C3BC0" w:rsidRDefault="000C3BC0" w:rsidP="000C3BC0"/>
    <w:tbl>
      <w:tblPr>
        <w:tblW w:w="9756" w:type="dxa"/>
        <w:tblCellMar>
          <w:left w:w="70" w:type="dxa"/>
          <w:right w:w="70" w:type="dxa"/>
        </w:tblCellMar>
        <w:tblLook w:val="04A0"/>
      </w:tblPr>
      <w:tblGrid>
        <w:gridCol w:w="7296"/>
        <w:gridCol w:w="2460"/>
      </w:tblGrid>
      <w:tr w:rsidR="000C3BC0" w:rsidRPr="00BB54EF" w:rsidTr="000C3BC0">
        <w:trPr>
          <w:trHeight w:val="360"/>
        </w:trPr>
        <w:tc>
          <w:tcPr>
            <w:tcW w:w="9756" w:type="dxa"/>
            <w:gridSpan w:val="2"/>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ANEXO 13</w:t>
            </w:r>
          </w:p>
        </w:tc>
      </w:tr>
      <w:tr w:rsidR="000C3BC0" w:rsidRPr="00BB54EF" w:rsidTr="000C3BC0">
        <w:trPr>
          <w:trHeight w:val="360"/>
        </w:trPr>
        <w:tc>
          <w:tcPr>
            <w:tcW w:w="9756" w:type="dxa"/>
            <w:gridSpan w:val="2"/>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PRESUPUESTO ASIGNADO A COMUNICACIÓN SOCIAL</w:t>
            </w:r>
          </w:p>
        </w:tc>
      </w:tr>
      <w:tr w:rsidR="000C3BC0" w:rsidRPr="00BB54EF" w:rsidTr="000C3BC0">
        <w:trPr>
          <w:trHeight w:val="300"/>
        </w:trPr>
        <w:tc>
          <w:tcPr>
            <w:tcW w:w="7296"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2460"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r>
      <w:tr w:rsidR="000C3BC0" w:rsidRPr="00BB54EF" w:rsidTr="000C3BC0">
        <w:trPr>
          <w:trHeight w:val="380"/>
        </w:trPr>
        <w:tc>
          <w:tcPr>
            <w:tcW w:w="7296" w:type="dxa"/>
            <w:tcBorders>
              <w:top w:val="single" w:sz="4" w:space="0" w:color="000000"/>
              <w:left w:val="single" w:sz="4" w:space="0" w:color="000000"/>
              <w:bottom w:val="nil"/>
              <w:right w:val="nil"/>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sz w:val="28"/>
                <w:szCs w:val="28"/>
                <w:lang w:val="es-MX" w:eastAsia="es-ES_tradnl"/>
              </w:rPr>
            </w:pPr>
            <w:r w:rsidRPr="00BB54EF">
              <w:rPr>
                <w:rFonts w:ascii="Barlow" w:eastAsia="Times New Roman" w:hAnsi="Barlow" w:cs="Calibri"/>
                <w:b/>
                <w:bCs/>
                <w:color w:val="FFFFFF"/>
                <w:sz w:val="28"/>
                <w:szCs w:val="28"/>
                <w:lang w:val="es-MX" w:eastAsia="es-ES_tradnl"/>
              </w:rPr>
              <w:t>GASTO EN COMUNICACIÓN SOCIAL</w:t>
            </w:r>
          </w:p>
        </w:tc>
        <w:tc>
          <w:tcPr>
            <w:tcW w:w="2460" w:type="dxa"/>
            <w:tcBorders>
              <w:top w:val="single" w:sz="4" w:space="0" w:color="000000"/>
              <w:left w:val="single" w:sz="4" w:space="0" w:color="000000"/>
              <w:bottom w:val="nil"/>
              <w:right w:val="nil"/>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sz w:val="28"/>
                <w:szCs w:val="28"/>
                <w:lang w:val="es-MX" w:eastAsia="es-ES_tradnl"/>
              </w:rPr>
            </w:pPr>
            <w:r w:rsidRPr="00BB54EF">
              <w:rPr>
                <w:rFonts w:ascii="Barlow" w:eastAsia="Times New Roman" w:hAnsi="Barlow" w:cs="Calibri"/>
                <w:b/>
                <w:bCs/>
                <w:color w:val="FFFFFF"/>
                <w:sz w:val="28"/>
                <w:szCs w:val="28"/>
                <w:lang w:val="es-MX" w:eastAsia="es-ES_tradnl"/>
              </w:rPr>
              <w:t xml:space="preserve"> IMPORTE </w:t>
            </w:r>
          </w:p>
        </w:tc>
      </w:tr>
      <w:tr w:rsidR="000C3BC0" w:rsidRPr="00BB54EF" w:rsidTr="000C3BC0">
        <w:trPr>
          <w:trHeight w:val="360"/>
        </w:trPr>
        <w:tc>
          <w:tcPr>
            <w:tcW w:w="7296" w:type="dxa"/>
            <w:tcBorders>
              <w:top w:val="nil"/>
              <w:left w:val="nil"/>
              <w:bottom w:val="nil"/>
              <w:right w:val="nil"/>
            </w:tcBorders>
            <w:shd w:val="clear" w:color="auto" w:fill="auto"/>
            <w:noWrap/>
            <w:vAlign w:val="bottom"/>
            <w:hideMark/>
          </w:tcPr>
          <w:p w:rsidR="000C3BC0" w:rsidRPr="00BB54EF" w:rsidRDefault="000C3BC0" w:rsidP="000C3BC0">
            <w:pPr>
              <w:rPr>
                <w:rFonts w:ascii="Barlow" w:eastAsia="Times New Roman" w:hAnsi="Barlow" w:cs="Calibri"/>
                <w:color w:val="000000"/>
                <w:sz w:val="28"/>
                <w:szCs w:val="28"/>
                <w:lang w:val="es-MX" w:eastAsia="es-ES_tradnl"/>
              </w:rPr>
            </w:pPr>
            <w:r w:rsidRPr="00BB54EF">
              <w:rPr>
                <w:rFonts w:ascii="Barlow" w:eastAsia="Times New Roman" w:hAnsi="Barlow" w:cs="Calibri"/>
                <w:color w:val="000000"/>
                <w:sz w:val="28"/>
                <w:szCs w:val="28"/>
                <w:lang w:val="es-MX" w:eastAsia="es-ES_tradnl"/>
              </w:rPr>
              <w:t>DIRECCION GENERAL DE COMUNICACION SOCIAL</w:t>
            </w:r>
          </w:p>
        </w:tc>
        <w:tc>
          <w:tcPr>
            <w:tcW w:w="2460" w:type="dxa"/>
            <w:tcBorders>
              <w:top w:val="nil"/>
              <w:left w:val="nil"/>
              <w:bottom w:val="nil"/>
              <w:right w:val="nil"/>
            </w:tcBorders>
            <w:shd w:val="clear" w:color="auto" w:fill="auto"/>
            <w:noWrap/>
            <w:vAlign w:val="bottom"/>
            <w:hideMark/>
          </w:tcPr>
          <w:p w:rsidR="000C3BC0" w:rsidRPr="00BB54EF" w:rsidRDefault="000C3BC0" w:rsidP="000C3BC0">
            <w:pPr>
              <w:rPr>
                <w:rFonts w:ascii="Barlow" w:eastAsia="Times New Roman" w:hAnsi="Barlow" w:cs="Calibri"/>
                <w:color w:val="000000"/>
                <w:sz w:val="28"/>
                <w:szCs w:val="28"/>
                <w:lang w:val="es-MX" w:eastAsia="es-ES_tradnl"/>
              </w:rPr>
            </w:pPr>
            <w:r w:rsidRPr="00BB54EF">
              <w:rPr>
                <w:rFonts w:ascii="Barlow" w:eastAsia="Times New Roman" w:hAnsi="Barlow" w:cs="Calibri"/>
                <w:color w:val="000000"/>
                <w:sz w:val="28"/>
                <w:szCs w:val="28"/>
                <w:lang w:val="es-MX" w:eastAsia="es-ES_tradnl"/>
              </w:rPr>
              <w:t xml:space="preserve">      166,124,603.0 </w:t>
            </w:r>
          </w:p>
        </w:tc>
      </w:tr>
      <w:tr w:rsidR="000C3BC0" w:rsidRPr="00BB54EF" w:rsidTr="000C3BC0">
        <w:trPr>
          <w:trHeight w:val="380"/>
        </w:trPr>
        <w:tc>
          <w:tcPr>
            <w:tcW w:w="7296" w:type="dxa"/>
            <w:tcBorders>
              <w:top w:val="single" w:sz="4" w:space="0" w:color="366092"/>
              <w:left w:val="nil"/>
              <w:bottom w:val="single" w:sz="8" w:space="0" w:color="366092"/>
              <w:right w:val="nil"/>
            </w:tcBorders>
            <w:shd w:val="clear" w:color="auto" w:fill="auto"/>
            <w:noWrap/>
            <w:vAlign w:val="bottom"/>
            <w:hideMark/>
          </w:tcPr>
          <w:p w:rsidR="000C3BC0" w:rsidRPr="00BB54EF" w:rsidRDefault="000C3BC0" w:rsidP="000C3BC0">
            <w:pP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TOTAL</w:t>
            </w:r>
          </w:p>
        </w:tc>
        <w:tc>
          <w:tcPr>
            <w:tcW w:w="2460" w:type="dxa"/>
            <w:tcBorders>
              <w:top w:val="single" w:sz="4" w:space="0" w:color="366092"/>
              <w:left w:val="nil"/>
              <w:bottom w:val="single" w:sz="8" w:space="0" w:color="366092"/>
              <w:right w:val="nil"/>
            </w:tcBorders>
            <w:shd w:val="clear" w:color="auto" w:fill="auto"/>
            <w:noWrap/>
            <w:vAlign w:val="bottom"/>
            <w:hideMark/>
          </w:tcPr>
          <w:p w:rsidR="000C3BC0" w:rsidRPr="00BB54EF" w:rsidRDefault="000C3BC0" w:rsidP="000C3BC0">
            <w:pP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 xml:space="preserve">      166,124,603.0 </w:t>
            </w:r>
          </w:p>
        </w:tc>
      </w:tr>
    </w:tbl>
    <w:p w:rsidR="000C3BC0" w:rsidRDefault="000C3BC0" w:rsidP="000C3BC0"/>
    <w:p w:rsidR="000C3BC0" w:rsidRDefault="000C3BC0" w:rsidP="000C3BC0"/>
    <w:p w:rsidR="000C3BC0" w:rsidRDefault="000C3BC0" w:rsidP="000C3BC0"/>
    <w:p w:rsidR="000C3BC0" w:rsidRDefault="000C3BC0" w:rsidP="000C3BC0"/>
    <w:p w:rsidR="000C3BC0" w:rsidRDefault="000C3BC0" w:rsidP="000C3BC0"/>
    <w:p w:rsidR="000C3BC0" w:rsidRDefault="000C3BC0" w:rsidP="000C3BC0"/>
    <w:p w:rsidR="000C3BC0" w:rsidRDefault="000C3BC0" w:rsidP="000C3BC0"/>
    <w:p w:rsidR="000C3BC0" w:rsidRDefault="000C3BC0">
      <w:r>
        <w:br w:type="page"/>
      </w:r>
    </w:p>
    <w:p w:rsidR="000C3BC0" w:rsidRDefault="000C3BC0" w:rsidP="000C3BC0"/>
    <w:tbl>
      <w:tblPr>
        <w:tblW w:w="10046" w:type="dxa"/>
        <w:tblLayout w:type="fixed"/>
        <w:tblCellMar>
          <w:left w:w="70" w:type="dxa"/>
          <w:right w:w="70" w:type="dxa"/>
        </w:tblCellMar>
        <w:tblLook w:val="04A0"/>
      </w:tblPr>
      <w:tblGrid>
        <w:gridCol w:w="753"/>
        <w:gridCol w:w="1877"/>
        <w:gridCol w:w="2545"/>
        <w:gridCol w:w="1913"/>
        <w:gridCol w:w="1701"/>
        <w:gridCol w:w="1257"/>
      </w:tblGrid>
      <w:tr w:rsidR="000C3BC0" w:rsidRPr="00BB54EF" w:rsidTr="000C3BC0">
        <w:trPr>
          <w:trHeight w:val="330"/>
        </w:trPr>
        <w:tc>
          <w:tcPr>
            <w:tcW w:w="10046" w:type="dxa"/>
            <w:gridSpan w:val="6"/>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 xml:space="preserve">ANEXO 14 </w:t>
            </w:r>
          </w:p>
        </w:tc>
      </w:tr>
      <w:tr w:rsidR="000C3BC0" w:rsidRPr="00BB54EF" w:rsidTr="000C3BC0">
        <w:trPr>
          <w:trHeight w:val="330"/>
        </w:trPr>
        <w:tc>
          <w:tcPr>
            <w:tcW w:w="10046" w:type="dxa"/>
            <w:gridSpan w:val="6"/>
            <w:tcBorders>
              <w:top w:val="nil"/>
              <w:left w:val="nil"/>
              <w:bottom w:val="nil"/>
              <w:right w:val="nil"/>
            </w:tcBorders>
            <w:shd w:val="clear" w:color="000000" w:fill="FFFFFF"/>
            <w:noWrap/>
            <w:vAlign w:val="bottom"/>
            <w:hideMark/>
          </w:tcPr>
          <w:p w:rsidR="000C3BC0" w:rsidRPr="00BB54EF" w:rsidRDefault="000C3BC0" w:rsidP="000C3BC0">
            <w:pPr>
              <w:jc w:val="center"/>
              <w:rPr>
                <w:rFonts w:ascii="Barlow" w:eastAsia="Times New Roman" w:hAnsi="Barlow" w:cs="Calibri"/>
                <w:b/>
                <w:bCs/>
                <w:color w:val="000000"/>
                <w:sz w:val="28"/>
                <w:szCs w:val="28"/>
                <w:lang w:val="es-MX" w:eastAsia="es-ES_tradnl"/>
              </w:rPr>
            </w:pPr>
            <w:r w:rsidRPr="00BB54EF">
              <w:rPr>
                <w:rFonts w:ascii="Barlow" w:eastAsia="Times New Roman" w:hAnsi="Barlow" w:cs="Calibri"/>
                <w:b/>
                <w:bCs/>
                <w:color w:val="000000"/>
                <w:sz w:val="28"/>
                <w:szCs w:val="28"/>
                <w:lang w:val="es-MX" w:eastAsia="es-ES_tradnl"/>
              </w:rPr>
              <w:t>GASTOS OBLIGATORIOS, EROGACIONES PLURIANUALES, PROGRAMAS Y PROYECTOS DE INVERSIÓN</w:t>
            </w:r>
          </w:p>
        </w:tc>
      </w:tr>
      <w:tr w:rsidR="000C3BC0" w:rsidRPr="00BB54EF" w:rsidTr="000C3BC0">
        <w:trPr>
          <w:trHeight w:val="413"/>
        </w:trPr>
        <w:tc>
          <w:tcPr>
            <w:tcW w:w="753"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1877"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2545"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1913"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1701"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c>
          <w:tcPr>
            <w:tcW w:w="1257" w:type="dxa"/>
            <w:tcBorders>
              <w:top w:val="nil"/>
              <w:left w:val="nil"/>
              <w:bottom w:val="nil"/>
              <w:right w:val="nil"/>
            </w:tcBorders>
            <w:shd w:val="clear" w:color="000000" w:fill="FFFFFF"/>
            <w:noWrap/>
            <w:vAlign w:val="bottom"/>
            <w:hideMark/>
          </w:tcPr>
          <w:p w:rsidR="000C3BC0" w:rsidRPr="00BB54EF" w:rsidRDefault="000C3BC0" w:rsidP="000C3BC0">
            <w:pPr>
              <w:rPr>
                <w:rFonts w:ascii="Calibri" w:eastAsia="Times New Roman" w:hAnsi="Calibri" w:cs="Calibri"/>
                <w:color w:val="000000"/>
                <w:sz w:val="22"/>
                <w:szCs w:val="22"/>
                <w:lang w:val="es-MX" w:eastAsia="es-ES_tradnl"/>
              </w:rPr>
            </w:pPr>
            <w:r w:rsidRPr="00BB54EF">
              <w:rPr>
                <w:rFonts w:ascii="Calibri" w:eastAsia="Times New Roman" w:hAnsi="Calibri" w:cs="Calibri"/>
                <w:color w:val="000000"/>
                <w:sz w:val="22"/>
                <w:szCs w:val="22"/>
                <w:lang w:val="es-MX" w:eastAsia="es-ES_tradnl"/>
              </w:rPr>
              <w:t> </w:t>
            </w:r>
          </w:p>
        </w:tc>
      </w:tr>
      <w:tr w:rsidR="000C3BC0" w:rsidRPr="00BB54EF" w:rsidTr="000C3BC0">
        <w:trPr>
          <w:trHeight w:val="312"/>
        </w:trPr>
        <w:tc>
          <w:tcPr>
            <w:tcW w:w="5175" w:type="dxa"/>
            <w:gridSpan w:val="3"/>
            <w:tcBorders>
              <w:top w:val="single" w:sz="8" w:space="0" w:color="auto"/>
              <w:left w:val="single" w:sz="8" w:space="0" w:color="auto"/>
              <w:bottom w:val="single" w:sz="8" w:space="0" w:color="auto"/>
              <w:right w:val="single" w:sz="8" w:space="0" w:color="auto"/>
            </w:tcBorders>
            <w:shd w:val="clear" w:color="000000" w:fill="16365C"/>
            <w:noWrap/>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Identificación del Proyecto</w:t>
            </w:r>
          </w:p>
        </w:tc>
        <w:tc>
          <w:tcPr>
            <w:tcW w:w="1913" w:type="dxa"/>
            <w:vMerge w:val="restart"/>
            <w:tcBorders>
              <w:top w:val="single" w:sz="8" w:space="0" w:color="auto"/>
              <w:left w:val="single" w:sz="8" w:space="0" w:color="auto"/>
              <w:bottom w:val="single" w:sz="8" w:space="0" w:color="auto"/>
              <w:right w:val="single" w:sz="8" w:space="0" w:color="auto"/>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presupuesto  año 2019</w:t>
            </w:r>
          </w:p>
        </w:tc>
        <w:tc>
          <w:tcPr>
            <w:tcW w:w="1701" w:type="dxa"/>
            <w:vMerge w:val="restart"/>
            <w:tcBorders>
              <w:top w:val="single" w:sz="8" w:space="0" w:color="auto"/>
              <w:left w:val="single" w:sz="8" w:space="0" w:color="auto"/>
              <w:bottom w:val="single" w:sz="8" w:space="0" w:color="auto"/>
              <w:right w:val="single" w:sz="8" w:space="0" w:color="auto"/>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presupuesto año 2020</w:t>
            </w:r>
          </w:p>
        </w:tc>
        <w:tc>
          <w:tcPr>
            <w:tcW w:w="1257" w:type="dxa"/>
            <w:vMerge w:val="restart"/>
            <w:tcBorders>
              <w:top w:val="single" w:sz="8" w:space="0" w:color="auto"/>
              <w:left w:val="single" w:sz="8" w:space="0" w:color="auto"/>
              <w:bottom w:val="single" w:sz="8" w:space="0" w:color="auto"/>
              <w:right w:val="single" w:sz="8" w:space="0" w:color="auto"/>
            </w:tcBorders>
            <w:shd w:val="clear" w:color="000000" w:fill="16365C"/>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MULTIANUAL</w:t>
            </w:r>
          </w:p>
        </w:tc>
      </w:tr>
      <w:tr w:rsidR="000C3BC0" w:rsidRPr="00BB54EF" w:rsidTr="000C3BC0">
        <w:trPr>
          <w:trHeight w:val="1198"/>
        </w:trPr>
        <w:tc>
          <w:tcPr>
            <w:tcW w:w="753" w:type="dxa"/>
            <w:tcBorders>
              <w:top w:val="nil"/>
              <w:left w:val="single" w:sz="8" w:space="0" w:color="auto"/>
              <w:bottom w:val="single" w:sz="8" w:space="0" w:color="auto"/>
              <w:right w:val="single" w:sz="8" w:space="0" w:color="auto"/>
            </w:tcBorders>
            <w:shd w:val="clear" w:color="000000" w:fill="16365C"/>
            <w:noWrap/>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clave</w:t>
            </w:r>
          </w:p>
        </w:tc>
        <w:tc>
          <w:tcPr>
            <w:tcW w:w="1877" w:type="dxa"/>
            <w:tcBorders>
              <w:top w:val="nil"/>
              <w:left w:val="nil"/>
              <w:bottom w:val="single" w:sz="8" w:space="0" w:color="auto"/>
              <w:right w:val="single" w:sz="8" w:space="0" w:color="auto"/>
            </w:tcBorders>
            <w:shd w:val="clear" w:color="000000" w:fill="16365C"/>
            <w:noWrap/>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 xml:space="preserve">nombre </w:t>
            </w:r>
          </w:p>
        </w:tc>
        <w:tc>
          <w:tcPr>
            <w:tcW w:w="2545" w:type="dxa"/>
            <w:tcBorders>
              <w:top w:val="nil"/>
              <w:left w:val="nil"/>
              <w:bottom w:val="single" w:sz="8" w:space="0" w:color="auto"/>
              <w:right w:val="single" w:sz="8" w:space="0" w:color="auto"/>
            </w:tcBorders>
            <w:shd w:val="clear" w:color="000000" w:fill="16365C"/>
            <w:noWrap/>
            <w:vAlign w:val="center"/>
            <w:hideMark/>
          </w:tcPr>
          <w:p w:rsidR="000C3BC0" w:rsidRPr="00BB54EF" w:rsidRDefault="000C3BC0" w:rsidP="000C3BC0">
            <w:pPr>
              <w:jc w:val="center"/>
              <w:rPr>
                <w:rFonts w:ascii="Barlow" w:eastAsia="Times New Roman" w:hAnsi="Barlow" w:cs="Calibri"/>
                <w:b/>
                <w:bCs/>
                <w:color w:val="FFFFFF"/>
                <w:lang w:val="es-MX" w:eastAsia="es-ES_tradnl"/>
              </w:rPr>
            </w:pPr>
            <w:r w:rsidRPr="00BB54EF">
              <w:rPr>
                <w:rFonts w:ascii="Barlow" w:eastAsia="Times New Roman" w:hAnsi="Barlow" w:cs="Calibri"/>
                <w:b/>
                <w:bCs/>
                <w:color w:val="FFFFFF"/>
                <w:lang w:val="es-MX" w:eastAsia="es-ES_tradnl"/>
              </w:rPr>
              <w:t>descripcion</w:t>
            </w:r>
          </w:p>
        </w:tc>
        <w:tc>
          <w:tcPr>
            <w:tcW w:w="1913" w:type="dxa"/>
            <w:vMerge/>
            <w:tcBorders>
              <w:top w:val="single" w:sz="8" w:space="0" w:color="auto"/>
              <w:left w:val="single" w:sz="8" w:space="0" w:color="auto"/>
              <w:bottom w:val="single" w:sz="8" w:space="0" w:color="auto"/>
              <w:right w:val="single" w:sz="8" w:space="0" w:color="auto"/>
            </w:tcBorders>
            <w:vAlign w:val="center"/>
            <w:hideMark/>
          </w:tcPr>
          <w:p w:rsidR="000C3BC0" w:rsidRPr="00BB54EF" w:rsidRDefault="000C3BC0" w:rsidP="000C3BC0">
            <w:pPr>
              <w:rPr>
                <w:rFonts w:ascii="Barlow" w:eastAsia="Times New Roman" w:hAnsi="Barlow" w:cs="Calibri"/>
                <w:b/>
                <w:bCs/>
                <w:color w:val="FFFFFF"/>
                <w:lang w:val="es-MX" w:eastAsia="es-ES_tradnl"/>
              </w:rPr>
            </w:pPr>
          </w:p>
        </w:tc>
        <w:tc>
          <w:tcPr>
            <w:tcW w:w="1701" w:type="dxa"/>
            <w:vMerge/>
            <w:tcBorders>
              <w:top w:val="single" w:sz="8" w:space="0" w:color="auto"/>
              <w:left w:val="single" w:sz="8" w:space="0" w:color="auto"/>
              <w:bottom w:val="single" w:sz="8" w:space="0" w:color="auto"/>
              <w:right w:val="single" w:sz="8" w:space="0" w:color="auto"/>
            </w:tcBorders>
            <w:vAlign w:val="center"/>
            <w:hideMark/>
          </w:tcPr>
          <w:p w:rsidR="000C3BC0" w:rsidRPr="00BB54EF" w:rsidRDefault="000C3BC0" w:rsidP="000C3BC0">
            <w:pPr>
              <w:rPr>
                <w:rFonts w:ascii="Barlow" w:eastAsia="Times New Roman" w:hAnsi="Barlow" w:cs="Calibri"/>
                <w:b/>
                <w:bCs/>
                <w:color w:val="FFFFFF"/>
                <w:lang w:val="es-MX" w:eastAsia="es-ES_tradnl"/>
              </w:rPr>
            </w:pPr>
          </w:p>
        </w:tc>
        <w:tc>
          <w:tcPr>
            <w:tcW w:w="1257" w:type="dxa"/>
            <w:vMerge/>
            <w:tcBorders>
              <w:top w:val="single" w:sz="8" w:space="0" w:color="auto"/>
              <w:left w:val="single" w:sz="8" w:space="0" w:color="auto"/>
              <w:bottom w:val="single" w:sz="8" w:space="0" w:color="auto"/>
              <w:right w:val="single" w:sz="8" w:space="0" w:color="auto"/>
            </w:tcBorders>
            <w:vAlign w:val="center"/>
            <w:hideMark/>
          </w:tcPr>
          <w:p w:rsidR="000C3BC0" w:rsidRPr="00BB54EF" w:rsidRDefault="000C3BC0" w:rsidP="000C3BC0">
            <w:pPr>
              <w:rPr>
                <w:rFonts w:ascii="Barlow" w:eastAsia="Times New Roman" w:hAnsi="Barlow" w:cs="Calibri"/>
                <w:b/>
                <w:bCs/>
                <w:color w:val="FFFFFF"/>
                <w:lang w:val="es-MX" w:eastAsia="es-ES_tradnl"/>
              </w:rPr>
            </w:pPr>
          </w:p>
        </w:tc>
      </w:tr>
      <w:tr w:rsidR="000C3BC0" w:rsidRPr="00BB54EF" w:rsidTr="000C3BC0">
        <w:trPr>
          <w:trHeight w:val="1874"/>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0C3BC0" w:rsidRPr="00BB54EF" w:rsidRDefault="000C3BC0" w:rsidP="000C3BC0">
            <w:pPr>
              <w:jc w:val="cente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17396</w:t>
            </w:r>
          </w:p>
        </w:tc>
        <w:tc>
          <w:tcPr>
            <w:tcW w:w="1877"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ADECUACIÓN DE EDIFICIO PARA LA OPERACIÓN DE OFICINAS DEL GOBIERNO DEL ESTADO</w:t>
            </w:r>
          </w:p>
        </w:tc>
        <w:tc>
          <w:tcPr>
            <w:tcW w:w="2545"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CONTINUAR CON LA GESTIÓN DE LOS  PAGOS POR LA ADECUACIÓN DE UN EDIFICIO QUE CUENTE CON LAS CARACTERISTICAS PARA LA CORRECTA OPERACIÓN DE LA SECREWTARÍA</w:t>
            </w:r>
          </w:p>
        </w:tc>
        <w:tc>
          <w:tcPr>
            <w:tcW w:w="1913"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jc w:val="right"/>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24,000,000.00</w:t>
            </w:r>
          </w:p>
        </w:tc>
        <w:tc>
          <w:tcPr>
            <w:tcW w:w="1701"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jc w:val="cente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0.00</w:t>
            </w:r>
          </w:p>
        </w:tc>
        <w:tc>
          <w:tcPr>
            <w:tcW w:w="1257" w:type="dxa"/>
            <w:tcBorders>
              <w:top w:val="nil"/>
              <w:left w:val="nil"/>
              <w:bottom w:val="single" w:sz="4" w:space="0" w:color="auto"/>
              <w:right w:val="single" w:sz="4" w:space="0" w:color="auto"/>
            </w:tcBorders>
            <w:shd w:val="clear" w:color="000000" w:fill="A6A6A6"/>
            <w:vAlign w:val="center"/>
            <w:hideMark/>
          </w:tcPr>
          <w:p w:rsidR="000C3BC0" w:rsidRPr="00BB54EF" w:rsidRDefault="000C3BC0" w:rsidP="000C3BC0">
            <w:pPr>
              <w:jc w:val="center"/>
              <w:rPr>
                <w:rFonts w:ascii="Barlow" w:eastAsia="Times New Roman" w:hAnsi="Barlow" w:cs="Calibri"/>
                <w:b/>
                <w:bCs/>
                <w:color w:val="000000"/>
                <w:lang w:val="es-MX" w:eastAsia="es-ES_tradnl"/>
              </w:rPr>
            </w:pPr>
            <w:r w:rsidRPr="00BB54EF">
              <w:rPr>
                <w:rFonts w:ascii="Barlow" w:eastAsia="Times New Roman" w:hAnsi="Barlow" w:cs="Calibri"/>
                <w:b/>
                <w:bCs/>
                <w:color w:val="000000"/>
                <w:lang w:val="es-MX" w:eastAsia="es-ES_tradnl"/>
              </w:rPr>
              <w:t>CONCLUCIÓN DEL PROYECTO EN AGOSTO DEL 2018</w:t>
            </w:r>
          </w:p>
        </w:tc>
      </w:tr>
      <w:tr w:rsidR="000C3BC0" w:rsidRPr="00BB54EF" w:rsidTr="000C3BC0">
        <w:trPr>
          <w:trHeight w:val="4534"/>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0C3BC0" w:rsidRPr="00BB54EF" w:rsidRDefault="000C3BC0" w:rsidP="000C3BC0">
            <w:pPr>
              <w:jc w:val="cente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11146</w:t>
            </w:r>
          </w:p>
        </w:tc>
        <w:tc>
          <w:tcPr>
            <w:tcW w:w="1877"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SEGUIMIENTO DEL PROGRAMA DE ARRENDAMIENTO DE VEHICULOS AL SERVICIO DEL PODER EJECUTIVO</w:t>
            </w:r>
          </w:p>
        </w:tc>
        <w:tc>
          <w:tcPr>
            <w:tcW w:w="2545"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Gestionar el pago oportuno a los proveedores de arrendamiento vehicular, que permita contar con la flotilla de vehículos al servicio del Poder Ejecutivo. Asimismo, facilitar los medios de transporte para la operación cotidiana de las dependencias y entidades del Poder Ejecutivo.</w:t>
            </w:r>
          </w:p>
        </w:tc>
        <w:tc>
          <w:tcPr>
            <w:tcW w:w="1913" w:type="dxa"/>
            <w:tcBorders>
              <w:top w:val="nil"/>
              <w:left w:val="nil"/>
              <w:bottom w:val="single" w:sz="4" w:space="0" w:color="auto"/>
              <w:right w:val="single" w:sz="4" w:space="0" w:color="auto"/>
            </w:tcBorders>
            <w:shd w:val="clear" w:color="auto" w:fill="auto"/>
            <w:vAlign w:val="center"/>
            <w:hideMark/>
          </w:tcPr>
          <w:p w:rsidR="000C3BC0" w:rsidRPr="00BB54EF" w:rsidRDefault="00731DB6" w:rsidP="000C3BC0">
            <w:pPr>
              <w:jc w:val="right"/>
              <w:rPr>
                <w:rFonts w:ascii="Barlow" w:eastAsia="Times New Roman" w:hAnsi="Barlow" w:cs="Calibri"/>
                <w:color w:val="000000"/>
                <w:lang w:val="es-MX" w:eastAsia="es-ES_tradnl"/>
              </w:rPr>
            </w:pPr>
            <w:r>
              <w:rPr>
                <w:rFonts w:ascii="Barlow" w:eastAsia="Times New Roman" w:hAnsi="Barlow" w:cs="Calibri"/>
                <w:color w:val="000000"/>
                <w:lang w:val="es-MX" w:eastAsia="es-ES_tradnl"/>
              </w:rPr>
              <w:t>47,411,027.00</w:t>
            </w:r>
          </w:p>
        </w:tc>
        <w:tc>
          <w:tcPr>
            <w:tcW w:w="1701" w:type="dxa"/>
            <w:tcBorders>
              <w:top w:val="nil"/>
              <w:left w:val="nil"/>
              <w:bottom w:val="single" w:sz="4" w:space="0" w:color="auto"/>
              <w:right w:val="single" w:sz="4" w:space="0" w:color="auto"/>
            </w:tcBorders>
            <w:shd w:val="clear" w:color="auto" w:fill="auto"/>
            <w:vAlign w:val="center"/>
            <w:hideMark/>
          </w:tcPr>
          <w:p w:rsidR="000C3BC0" w:rsidRPr="00BB54EF" w:rsidRDefault="000C3BC0" w:rsidP="000C3BC0">
            <w:pPr>
              <w:jc w:val="cente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150,000,000.00</w:t>
            </w:r>
          </w:p>
        </w:tc>
        <w:tc>
          <w:tcPr>
            <w:tcW w:w="1257" w:type="dxa"/>
            <w:tcBorders>
              <w:top w:val="nil"/>
              <w:left w:val="nil"/>
              <w:bottom w:val="single" w:sz="4" w:space="0" w:color="auto"/>
              <w:right w:val="single" w:sz="4" w:space="0" w:color="auto"/>
            </w:tcBorders>
            <w:shd w:val="clear" w:color="000000" w:fill="A6A6A6"/>
            <w:vAlign w:val="center"/>
            <w:hideMark/>
          </w:tcPr>
          <w:p w:rsidR="000C3BC0" w:rsidRPr="00BB54EF" w:rsidRDefault="000C3BC0" w:rsidP="000C3BC0">
            <w:pPr>
              <w:jc w:val="center"/>
              <w:rPr>
                <w:rFonts w:ascii="Barlow" w:eastAsia="Times New Roman" w:hAnsi="Barlow" w:cs="Calibri"/>
                <w:b/>
                <w:bCs/>
                <w:color w:val="000000"/>
                <w:lang w:val="es-MX" w:eastAsia="es-ES_tradnl"/>
              </w:rPr>
            </w:pPr>
            <w:r w:rsidRPr="00BB54EF">
              <w:rPr>
                <w:rFonts w:ascii="Barlow" w:eastAsia="Times New Roman" w:hAnsi="Barlow" w:cs="Calibri"/>
                <w:b/>
                <w:bCs/>
                <w:color w:val="000000"/>
                <w:lang w:val="es-MX" w:eastAsia="es-ES_tradnl"/>
              </w:rPr>
              <w:t>SI</w:t>
            </w:r>
          </w:p>
        </w:tc>
      </w:tr>
      <w:tr w:rsidR="000C3BC0" w:rsidRPr="00BB54EF" w:rsidTr="000C3BC0">
        <w:trPr>
          <w:trHeight w:val="4534"/>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0C3BC0" w:rsidRPr="00BB54EF" w:rsidRDefault="000C3BC0" w:rsidP="000C3BC0">
            <w:pPr>
              <w:rPr>
                <w:rFonts w:ascii="Barlow" w:eastAsia="Times New Roman" w:hAnsi="Barlow" w:cs="Calibri"/>
                <w:b/>
                <w:bCs/>
                <w:color w:val="000000"/>
                <w:lang w:val="es-MX" w:eastAsia="es-ES_tradnl"/>
              </w:rPr>
            </w:pPr>
            <w:r w:rsidRPr="00BB54EF">
              <w:rPr>
                <w:rFonts w:ascii="Barlow" w:eastAsia="Times New Roman" w:hAnsi="Barlow" w:cs="Calibri"/>
                <w:b/>
                <w:bCs/>
                <w:color w:val="000000"/>
                <w:lang w:val="es-MX" w:eastAsia="es-ES_tradnl"/>
              </w:rPr>
              <w:lastRenderedPageBreak/>
              <w:t> </w:t>
            </w:r>
          </w:p>
        </w:tc>
        <w:tc>
          <w:tcPr>
            <w:tcW w:w="1877" w:type="dxa"/>
            <w:tcBorders>
              <w:top w:val="nil"/>
              <w:left w:val="nil"/>
              <w:bottom w:val="single" w:sz="4" w:space="0" w:color="auto"/>
              <w:right w:val="nil"/>
            </w:tcBorders>
            <w:shd w:val="clear" w:color="auto" w:fill="auto"/>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Gran Museo del Mundo Maya (Contrato PPS)</w:t>
            </w:r>
          </w:p>
        </w:tc>
        <w:tc>
          <w:tcPr>
            <w:tcW w:w="2545" w:type="dxa"/>
            <w:tcBorders>
              <w:top w:val="nil"/>
              <w:left w:val="single" w:sz="4" w:space="0" w:color="auto"/>
              <w:bottom w:val="single" w:sz="4" w:space="0" w:color="auto"/>
              <w:right w:val="single" w:sz="4" w:space="0" w:color="auto"/>
            </w:tcBorders>
            <w:shd w:val="clear" w:color="000000" w:fill="FFFFFF"/>
            <w:vAlign w:val="center"/>
            <w:hideMark/>
          </w:tcPr>
          <w:p w:rsidR="000C3BC0" w:rsidRPr="00BB54EF" w:rsidRDefault="000C3BC0" w:rsidP="000C3BC0">
            <w:pP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Se firma un contrato a 21 años a partir del 1 de septiembre de 2012</w:t>
            </w:r>
          </w:p>
        </w:tc>
        <w:tc>
          <w:tcPr>
            <w:tcW w:w="1913" w:type="dxa"/>
            <w:tcBorders>
              <w:top w:val="nil"/>
              <w:left w:val="nil"/>
              <w:bottom w:val="single" w:sz="4" w:space="0" w:color="auto"/>
              <w:right w:val="single" w:sz="4" w:space="0" w:color="auto"/>
            </w:tcBorders>
            <w:shd w:val="clear" w:color="auto" w:fill="auto"/>
            <w:vAlign w:val="center"/>
            <w:hideMark/>
          </w:tcPr>
          <w:p w:rsidR="000C3BC0" w:rsidRPr="000C3BC0" w:rsidRDefault="000C3BC0" w:rsidP="000C3BC0">
            <w:pPr>
              <w:rPr>
                <w:rFonts w:ascii="Barlow" w:eastAsia="Times New Roman" w:hAnsi="Barlow" w:cs="Calibri"/>
                <w:bCs/>
                <w:color w:val="000000"/>
                <w:lang w:val="es-MX" w:eastAsia="es-ES_tradnl"/>
              </w:rPr>
            </w:pPr>
            <w:r w:rsidRPr="00BB54EF">
              <w:rPr>
                <w:rFonts w:ascii="Barlow" w:eastAsia="Times New Roman" w:hAnsi="Barlow" w:cs="Calibri"/>
                <w:b/>
                <w:bCs/>
                <w:color w:val="000000"/>
                <w:lang w:val="es-MX" w:eastAsia="es-ES_tradnl"/>
              </w:rPr>
              <w:t> </w:t>
            </w:r>
            <w:r>
              <w:rPr>
                <w:rFonts w:ascii="Barlow" w:eastAsia="Times New Roman" w:hAnsi="Barlow" w:cs="Calibri"/>
                <w:bCs/>
                <w:color w:val="000000"/>
                <w:lang w:val="es-MX" w:eastAsia="es-ES_tradnl"/>
              </w:rPr>
              <w:t>239,676,446.00</w:t>
            </w:r>
          </w:p>
        </w:tc>
        <w:tc>
          <w:tcPr>
            <w:tcW w:w="2958" w:type="dxa"/>
            <w:gridSpan w:val="2"/>
            <w:tcBorders>
              <w:top w:val="single" w:sz="4" w:space="0" w:color="auto"/>
              <w:left w:val="nil"/>
              <w:bottom w:val="single" w:sz="4" w:space="0" w:color="auto"/>
              <w:right w:val="single" w:sz="4" w:space="0" w:color="000000"/>
            </w:tcBorders>
            <w:shd w:val="clear" w:color="auto" w:fill="auto"/>
            <w:vAlign w:val="center"/>
            <w:hideMark/>
          </w:tcPr>
          <w:p w:rsidR="000C3BC0" w:rsidRPr="00BB54EF" w:rsidRDefault="000C3BC0" w:rsidP="000C3BC0">
            <w:pPr>
              <w:jc w:val="center"/>
              <w:rPr>
                <w:rFonts w:ascii="Barlow" w:eastAsia="Times New Roman" w:hAnsi="Barlow" w:cs="Calibri"/>
                <w:color w:val="000000"/>
                <w:lang w:val="es-MX" w:eastAsia="es-ES_tradnl"/>
              </w:rPr>
            </w:pPr>
            <w:r w:rsidRPr="00BB54EF">
              <w:rPr>
                <w:rFonts w:ascii="Barlow" w:eastAsia="Times New Roman" w:hAnsi="Barlow" w:cs="Calibri"/>
                <w:color w:val="000000"/>
                <w:lang w:val="es-MX" w:eastAsia="es-ES_tradnl"/>
              </w:rPr>
              <w:t>FALTA LA INFORMACIÓN</w:t>
            </w:r>
          </w:p>
        </w:tc>
      </w:tr>
    </w:tbl>
    <w:p w:rsidR="000C3BC0" w:rsidRDefault="000C3BC0" w:rsidP="000C3BC0"/>
    <w:p w:rsidR="000C3BC0" w:rsidRDefault="000C3BC0" w:rsidP="000C3BC0"/>
    <w:p w:rsidR="00ED3E20" w:rsidRDefault="00ED3E20" w:rsidP="00ED3E20">
      <w:pPr>
        <w:rPr>
          <w:rFonts w:ascii="Barlow Medium" w:eastAsiaTheme="minorHAnsi" w:hAnsi="Barlow Medium" w:cs="Arial"/>
          <w:color w:val="000000"/>
          <w:lang w:val="es-ES" w:eastAsia="en-US"/>
        </w:rPr>
      </w:pPr>
      <w:r>
        <w:rPr>
          <w:rFonts w:ascii="Barlow Medium" w:eastAsiaTheme="minorHAnsi" w:hAnsi="Barlow Medium" w:cs="Arial"/>
          <w:color w:val="000000"/>
          <w:lang w:val="es-ES" w:eastAsia="en-US"/>
        </w:rPr>
        <w:t xml:space="preserve">Anexo 15 </w:t>
      </w:r>
    </w:p>
    <w:p w:rsidR="00ED3E20" w:rsidRDefault="00ED3E20" w:rsidP="00ED3E20">
      <w:pPr>
        <w:rPr>
          <w:rFonts w:ascii="Barlow Medium" w:eastAsiaTheme="minorHAnsi" w:hAnsi="Barlow Medium" w:cs="Arial"/>
          <w:color w:val="000000"/>
          <w:lang w:val="es-ES" w:eastAsia="en-US"/>
        </w:rPr>
      </w:pPr>
    </w:p>
    <w:tbl>
      <w:tblPr>
        <w:tblW w:w="0" w:type="auto"/>
        <w:tblCellMar>
          <w:left w:w="70" w:type="dxa"/>
          <w:right w:w="70" w:type="dxa"/>
        </w:tblCellMar>
        <w:tblLook w:val="04A0"/>
      </w:tblPr>
      <w:tblGrid>
        <w:gridCol w:w="7637"/>
        <w:gridCol w:w="2407"/>
      </w:tblGrid>
      <w:tr w:rsidR="00ED3E20" w:rsidRPr="00FA1984" w:rsidTr="00D55271">
        <w:trPr>
          <w:trHeight w:val="630"/>
        </w:trPr>
        <w:tc>
          <w:tcPr>
            <w:tcW w:w="0" w:type="auto"/>
            <w:tcBorders>
              <w:top w:val="single" w:sz="4" w:space="0" w:color="000000"/>
              <w:left w:val="single" w:sz="4" w:space="0" w:color="000000"/>
              <w:bottom w:val="nil"/>
              <w:right w:val="nil"/>
            </w:tcBorders>
            <w:shd w:val="clear" w:color="000000" w:fill="16365C"/>
            <w:vAlign w:val="center"/>
            <w:hideMark/>
          </w:tcPr>
          <w:p w:rsidR="00ED3E20" w:rsidRPr="00FA1984" w:rsidRDefault="00ED3E20" w:rsidP="00D55271">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ESTUDIOS, PROGRAMAS Y PROYECTOS DE INVERSIÓN MÁS IMPORTANTES</w:t>
            </w:r>
          </w:p>
        </w:tc>
        <w:tc>
          <w:tcPr>
            <w:tcW w:w="0" w:type="auto"/>
            <w:tcBorders>
              <w:top w:val="single" w:sz="4" w:space="0" w:color="000000"/>
              <w:left w:val="single" w:sz="4" w:space="0" w:color="000000"/>
              <w:bottom w:val="nil"/>
              <w:right w:val="nil"/>
            </w:tcBorders>
            <w:shd w:val="clear" w:color="000000" w:fill="16365C"/>
            <w:vAlign w:val="center"/>
            <w:hideMark/>
          </w:tcPr>
          <w:p w:rsidR="00ED3E20" w:rsidRPr="00FA1984" w:rsidRDefault="00ED3E20" w:rsidP="00D55271">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DE INVERSIÓN</w:t>
            </w:r>
          </w:p>
        </w:tc>
      </w:tr>
      <w:tr w:rsidR="00ED3E20" w:rsidRPr="00FA1984" w:rsidTr="00D55271">
        <w:trPr>
          <w:trHeight w:val="630"/>
        </w:trPr>
        <w:tc>
          <w:tcPr>
            <w:tcW w:w="0" w:type="auto"/>
            <w:tcBorders>
              <w:top w:val="single" w:sz="4" w:space="0" w:color="000000"/>
              <w:left w:val="single" w:sz="4" w:space="0" w:color="000000"/>
              <w:bottom w:val="nil"/>
              <w:right w:val="nil"/>
            </w:tcBorders>
            <w:shd w:val="clear" w:color="000000" w:fill="16365C"/>
            <w:vAlign w:val="center"/>
          </w:tcPr>
          <w:p w:rsidR="00ED3E20" w:rsidRPr="00FA1984" w:rsidRDefault="00ED3E20" w:rsidP="00D55271">
            <w:pPr>
              <w:jc w:val="both"/>
              <w:rPr>
                <w:rFonts w:ascii="Barlow" w:eastAsia="Times New Roman" w:hAnsi="Barlow" w:cs="Calibri"/>
                <w:b/>
                <w:bCs/>
                <w:color w:val="FFFFFF"/>
                <w:lang w:eastAsia="es-MX"/>
              </w:rPr>
            </w:pPr>
          </w:p>
        </w:tc>
        <w:tc>
          <w:tcPr>
            <w:tcW w:w="0" w:type="auto"/>
            <w:tcBorders>
              <w:top w:val="single" w:sz="4" w:space="0" w:color="000000"/>
              <w:left w:val="single" w:sz="4" w:space="0" w:color="000000"/>
              <w:bottom w:val="nil"/>
              <w:right w:val="nil"/>
            </w:tcBorders>
            <w:shd w:val="clear" w:color="000000" w:fill="16365C"/>
            <w:vAlign w:val="center"/>
          </w:tcPr>
          <w:p w:rsidR="00ED3E20" w:rsidRPr="00FA1984" w:rsidRDefault="00ED3E20" w:rsidP="00D55271">
            <w:pPr>
              <w:jc w:val="both"/>
              <w:rPr>
                <w:rFonts w:ascii="Barlow" w:eastAsia="Times New Roman" w:hAnsi="Barlow" w:cs="Calibri"/>
                <w:b/>
                <w:bCs/>
                <w:color w:val="FFFFFF"/>
                <w:lang w:eastAsia="es-MX"/>
              </w:rPr>
            </w:pP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LA AVENIDA DE ACCESO A CAUCEL NORTE Y CONSTRUCCIÓN DEL PASO SUPERIOR VEHICULAR DE CHENKÚ KM 37+250 DEL PERIFÉRICO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127,305,000.0 </w:t>
            </w:r>
          </w:p>
        </w:tc>
      </w:tr>
      <w:tr w:rsidR="00ED3E20" w:rsidRPr="00FA1984" w:rsidTr="00D55271">
        <w:trPr>
          <w:trHeight w:val="1260"/>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CAMINO SACACOSECHA  EN LA LOCALIDAD DE YOTHOLÍN, EN EL MUNICIPIO DE TICUL4911-CONSTRUCCIÓN DE CAMINO SACACOSECHA EN LA LOCALIDAD DE DZAN, MUNICIPIO DE DZAN4912-CONSTRUCCIÓN DE CAMINO SACACOSECHA  EN LA LOCALIDAD DE XMAKULÁN DEL MUNICIPIO DE TIZIMÍN4913-CONSTRUCCIÓN DE CAMINO SACACOSECHA EN LA LOCALIDAD DE HUNTOCHAC, EN EL MUNICIPIO DE OXKUTZCAB4914-CONSTRUCCIÓN DE CAMINO SACACOSECHA EN LA LOCALIDAD DE MUNA EN EL MUNICIPIO DE MUNA4915-CONSTRUCCIÓN DE CAMINO SACACOSECHA  EN LA LOCALIDAD DE SAN PEDRO, EN EL MUNICIPIO DE TEKAX4916-CONSTRUCCIÓN DE CAMINO SACACOSECHA  EN LA LOCALIDAD DE AKÍL, MUNICIPIO AKÍL</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87,250,000.0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Pr>
                <w:rFonts w:ascii="Barlow" w:eastAsia="Times New Roman" w:hAnsi="Barlow" w:cs="Calibri"/>
                <w:color w:val="000000"/>
                <w:lang w:eastAsia="es-MX"/>
              </w:rPr>
              <w:t>PROGRAMA DE SERVICIOS INTEGRALES PARA LA CONSERVACIÓN DEL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69,994,999.0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CONSTRUCCIÓN DE SANITARIOS ECOLÓGICOS CON BIODIGESTOR EN </w:t>
            </w:r>
            <w:r w:rsidRPr="00FA1984">
              <w:rPr>
                <w:rFonts w:ascii="Barlow" w:eastAsia="Times New Roman" w:hAnsi="Barlow" w:cs="Calibri"/>
                <w:color w:val="000000"/>
                <w:lang w:eastAsia="es-MX"/>
              </w:rPr>
              <w:lastRenderedPageBreak/>
              <w:t>DIVERSAS LOCALIDADES Y MUNICIPIOS DEL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xml:space="preserve">                   65,837,582.0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CONSTRUCCIÓN DEL CENTRO DE PROFESIONALIZACIÓN Y ADIESTRAMIENTO DEL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60,405,129.0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PROGRAMA DE EQUIPAMIENTO ESPECIALIZADO DE LA UNIVERSIDAD TECNOLÓGICA METROPOLITANA.3309-MANTENIMIENTO DE INSTALACIONES DE LA UNIVERSIDAD TECNOLÓGICA METROPOLITANA.</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DE LA INFRAESTRUCTURA FÍSICA EDUCATIVA EN CENTROS EDUCATIVOS DE NIVEL PRIMARIA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53,766,309.0 </w:t>
            </w:r>
          </w:p>
        </w:tc>
      </w:tr>
      <w:tr w:rsidR="00ED3E20" w:rsidRPr="00FA1984" w:rsidTr="00D55271">
        <w:trPr>
          <w:trHeight w:val="1260"/>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BAÑOS ECOLÓGICOS EN EL MUNICIPIO DE MAXCANÚ DEL ESTADO DE YUCATÁN4714-CONSTRUCCIÓN DE BAÑOS ECOLÓGICOS EN EL MUNICIPIO DE MÉRIDA DEL ESTADO DE YUCATÁN4715-CONSTRUCCIÓN DE BAÑOS ECOLÓGICOS EN EL MUNICIPIO DE IZAMAL DEL ESTADO DE YUCATÁN4716-CONSTRUCCIÓN DE BAÑOS ECOLÓGICOS EN EL MUNICIPIO DE MOTUL DEL ESTADO DE YUCATÁN4717-CONSTRUCCIÓN DE BAÑOS ECOLÓGICOS EN EL MUNICIPIO DE TIZIMÍN DEL ESTADO DE YUCATÁN4718-CONSTRUCCIÓN DE BAÑOS ECOLÓGICOS EN EL MUNICIPIO DE VALLADOLID DEL ESTADO DE YUCATÁN4719-CONSTRUCCIÓN DE BAÑOS ECOLÓGICOS EN EL MUNICIPIO DE TICUL DEL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52,131,388.0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DE LA INFRAESTRUCTURA FÍSICA EDUCATIVA EN CENTROS EDUCATIVOS DE NIVEL SECUNDARIA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51,027,257.0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PROGRAMA DE MANTENIMIENTO PARA LA REACREDITACIÓN DE UNIDADES DE PRIMER NIVEL DEL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50,000,000.0 </w:t>
            </w:r>
          </w:p>
        </w:tc>
      </w:tr>
      <w:tr w:rsidR="00ED3E20" w:rsidRPr="00FA1984" w:rsidTr="00D55271">
        <w:trPr>
          <w:trHeight w:val="630"/>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DE LA UNIVERSIDAD DE ORIENTE4703-PROGRAMA DE EQUIPAMIENTO DE LA UNIVERSIDAD DE ORIENTE1587-AMPLIACIÓN Y EQUIPAMIENTO DE ESPACIOS EDUCATIVOS EN LA UNIVERSIDAD DE ORIENTE4858-AMPLIACIÓN DE ESPACIOS DEPORTIVOS Y CULTURALES DE LA UNIVERSIDAD DE ORIENTE</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42,080,744.0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Pr>
                <w:rFonts w:ascii="Barlow" w:eastAsia="Times New Roman" w:hAnsi="Barlow" w:cs="Calibri"/>
                <w:color w:val="000000"/>
                <w:lang w:eastAsia="es-MX"/>
              </w:rPr>
              <w:t>MANEJO INTEGRAL DE RESIDUOS SÓLIDOS URBANOS EN LOS MUNICIPIOS DE LA ZONA METROPOLITANA</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ESPACIOS EDUCATIVOS EN EL NIVEL DE EDUCACIÓN PREESCOLAR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40,335,386.0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CONCLUSIÓN DE LA PLANTA DE TRATAMIENTO DE AGUAS RESIDUALES DE 80 LPS DE CAUCEL II DE LA LOCALIDAD DE MÉRIDA,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37,861,547.0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E. C. (VALLADOLID -CANCÚN)- LIMITE DEL ESTADO, TRAMO: 0+000-24+315, EN EL MUNICIPIO DE CHEMAX.</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36,886,238.0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LA CARRETERA SAN ISIDRO YAXCHÉ-E.C. (XUL-HUNTOCHAC), TRAMO: 0+000-7+324, EN EL MUNICIPIO DE TEKAX</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35,047,378.0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AMPLIACIÓN DE ESPACIOS EDUCATIVOS EN EL NIVEL DE EDUCACIÓN SECUNDARIA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30,537,138.0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MEJORAMIENTO DE LA IMAGEN URBANA EN LA LOCALIDAD DE LAS COLORADAS, MUNICIPIO DE RIO LAGARTOS,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29,954,200.0 </w:t>
            </w:r>
          </w:p>
        </w:tc>
      </w:tr>
      <w:tr w:rsidR="00ED3E20" w:rsidRPr="00FA1984" w:rsidTr="00D55271">
        <w:trPr>
          <w:trHeight w:val="1260"/>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CUARTOS ADICIONALES EN EL MUNICIPIO DE MAXCANÚ DEL ESTADO DE YUCATÁN4707-CONSTRUCCIÓN DE CUARTOS ADICIONALES EN EL MUNICIPIO DE MÉRIDA DEL ESTADO DE YUCATÁN4708-CONSTRUCCIÓN DE CUARTOS ADICIONALES EN EL MUNICIPIO DE IZAMAL DEL ESTADO DE YUCATÁN4709-CONSTRUCCIÓN DE CUARTOS ADICIONALES EN EL MUNICIPIO DE MOTUL DEL ESTADO DE YUCATÁN4710-CONSTRUCCIÓN DE CUARTOS ADICIONALES EN EL MUNICIPIO DE TIZIMÍN DEL ESTADO DE YUCATÁN4711-CONSTRUCCIÓN DE CUARTOS ADICIONALES EN EL MUNICIPIO DE VALLADOLID DEL ESTADO DE YUCATÁN4712-CONSTRUCCIÓN DE CUARTOS ADICIONALES EN EL MUNICIPIO DE TICUL DEL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26,326,188.0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REDES DE AGUA POTABLE DEL PROGRAMA PROAGUA EN SU APARTADO RURAL DEL SISTEMA DE AGUA POTABLE EN DIVERSAS LOCALIDADES Y DIVERSOS MU</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25,617,530.0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MEJORAMIENTO DE LA IMAGEN URBANA DE LA CALLE 60, CALLE 62  ENTRE AVENIDA COLÓN Y CALLE 61 Y CENTRO HISTÓRICO DE LA CIUDAD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ESPACIOS EDUCATIVOS EN EL NIVEL DE EDUCACIÓN PRIMARIA EN 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24,956,971.0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DE LA INFRAESTRUCTURA FÍSICA EDUCATIVA EN CENTROS EDUCATIVOS DE NIVEL PREESCOLAR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23,089,825.0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MODERNIZACIÓN DE LA ESCUELA SUPERIOR DE ARTES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20,954,679.0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PUNTO MÉXICO Y PRIMERA ETAPA DEL MEJORAMIENTO INTEGRAL DE LA IMAGEN URBANA EN EL MUNICIPIO Y LOCALIDAD DE PROGRESO,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LA UNIVERSIDAD TECNOLÓGICA DEL PONIENTE EN LA LOCALIDAD Y MUNICIPIO DE MAXCANÚ</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MODERNIZACIÓN DEL RECINTO FERIAL EN LA  LOCALIDAD DE XMATKUIL, MUNICIPIO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PROGRAMA DE MEJORAMIENTO DE VIVIENDA EN LA MODALIDAD DE CONSTRUCCIÓN DE PISOS Y TECHOS</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16,476,727.0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MERCADO EN LA LOCALIDAD Y MUNICIPIO DE PROGRESO,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16,160,000.0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EQUIPAMIENTO PARA LA SEGURIDAD PÚBLICA (FORTASEG) 2019</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14,743,417.0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RECONSTRUCCION DE CALLES  EN LA LOCALIDAD Y  MUNICIPIO DE  KANASIN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14,350,880.0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REHABILITACIÓN, CONSTRUCCIÓN Y RESTAURACIÓN DE INFRAESTURCTURA EN EL CENTRO HISTÓRICO Y PLAZAS PÚBLICAS EN LA LOCALIDAD DE MANÍ,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14,125,000.0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IMPLEMENTACIÓN DE SISTEMA BYPASS PARA EL TRASVASE DE ARENA EN LA ESCOLLERA DE PUERTO DE ABRIGO DE TELCHAC PUERTO,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RECONSTRUCCIÓN DE LA CARRETERA E. C. (MUNA-PETO)- ALFONSO CASO -BECANCHÉN, TRAMO: 15+347-26+000, EN EL MUNICIPIO DE TEKAX.</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13,958,579.0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 LAS FUENTES DE CAPTACIÓN, LÍNEA DE CONDUCCIÓN Y ESTACIONES DE REBOBEO DEL SISTEMA DE AGUA POTABLE DE LA LOCALIDAD DE PROGRESO.</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12,500,000.0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LA UNIVERSIDAD POLITÉCNICA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12,259,378.0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LA UNIVERSIDAD TECNOLÓGICA DEL MAYAB EN LA LOCALIDAD Y MUNICIPIO DE PETO.</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CONSERVACION DE LA CARRETERA E.C. (VALLADOLID- RÍO LAGARTOS)- LAS COLORADAS, TRAMO: 0+000-21+200, SUBTRAMO: 0+000-6+000 EN EL MUNICIPIO DE RÍO LAGARTO</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10,883,214.0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malecón en la localidad y municipio de Dzilam de Bravo,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10,780,000.0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TRANSPORTE PÚBLICO FORÁNEO ADAPTADO PARA PERSONAS CON DISCAPACIDAD</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10,364,862.0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Default="00ED3E20" w:rsidP="00D55271">
            <w:pPr>
              <w:jc w:val="both"/>
              <w:rPr>
                <w:rFonts w:ascii="Barlow" w:eastAsia="Times New Roman" w:hAnsi="Barlow" w:cs="Calibri"/>
                <w:color w:val="000000"/>
                <w:lang w:eastAsia="es-MX"/>
              </w:rPr>
            </w:pPr>
            <w:r>
              <w:rPr>
                <w:rFonts w:ascii="Barlow" w:eastAsia="Times New Roman" w:hAnsi="Barlow" w:cs="Calibri"/>
                <w:color w:val="000000"/>
                <w:lang w:eastAsia="es-MX"/>
              </w:rPr>
              <w:t>ESTUDIOS DE PRE-INVERSIÓN DEL PROYECTO “LA PLANCHA” EN LA CIUDAD DE MERIDA YUCATÁN. 4908 ESTUDIO DE PRE-INVERSIÓN DEL CENTRO DE ACTIVIDADES CULTURALES SUSTENTABLES “LA PLANCHA” EN MÉRIDA, YUCATÁN.</w:t>
            </w:r>
          </w:p>
          <w:p w:rsidR="00ED3E20" w:rsidRDefault="00ED3E20" w:rsidP="00D55271">
            <w:pPr>
              <w:jc w:val="both"/>
              <w:rPr>
                <w:rFonts w:ascii="Barlow" w:eastAsia="Times New Roman" w:hAnsi="Barlow" w:cs="Calibri"/>
                <w:color w:val="000000"/>
                <w:lang w:eastAsia="es-MX"/>
              </w:rPr>
            </w:pPr>
          </w:p>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de Preinversión del proyecto de La plancha en la ciudad de Mérida, Yucatán.4908-Estudio de Preinversión del Centro de Actividades  Culturales Sustentable La Plancha en Mérida,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REDES DE DIST EN DIVERSAS COLONIAS DE MÉRIDA, YUCATÁN, CONSISTENTE EN CONSTR DE LÍNEAS DE DIST CON 18,693 MT DE TUB PVC DE 12,8,6 Y 4</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9,750,885.0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SAMARIA-SAN PEDRO BACAB, TRAMO: 0+000-10+700, EN EL MUNICIPIO DE TIZIMÍN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8,668,148.0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mercado en la localidad y municipio de Dzidzantún,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8,100,000.0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CONSTRUCCION DE LA CASA DE LA CULTURA EN LA LOCALIDAD Y MUNICIPIO DE DZAN, YUCATAN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7,775,240.0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CONSTRUCCIÓN DE PARQUE INFANTIL EN LA LOCALIDAD Y MUNICIPIO </w:t>
            </w:r>
            <w:r w:rsidRPr="00FA1984">
              <w:rPr>
                <w:rFonts w:ascii="Barlow" w:eastAsia="Times New Roman" w:hAnsi="Barlow" w:cs="Calibri"/>
                <w:color w:val="000000"/>
                <w:lang w:eastAsia="es-MX"/>
              </w:rPr>
              <w:lastRenderedPageBreak/>
              <w:t>DE RÍO LAGARTOS, YUCATAN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xml:space="preserve">                     7,775,240.0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ESTUDIO DE PREINVERSIÓN PARA LA CONSTRUCCIÓN DE LA CARRETERA DZITOX-VILLAHERMOSA, TRAMO: 0+000-13+222, EN EL MUNICIPIO DE CHICHIMILÁ</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7,639,880.0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CONSTRUCCION DE LA CASA DE LA CULTURA EN LA LOCALIDAD Y MUNICIPIO DE CHAPAB,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7,594,840.0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mercado en la localidad y municipio de Oxkutzcab,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7,306,200.0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 DE PREINVERSIÓN PARA LA MODERNIZACIÓN DE LA CARRETERA SAN ISIDRO OCHIL-TEKIT, TRAMO 0+000-12+063, EN LOS MUNICIPIOS DE HOMÚN Y TEKIT.</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7,014,020.0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cancha de usos múltiples en la localidad y municipio de Maxcanú,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6,999,520.0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REMODELACIÓN DEL COMEDOR DEL EDIFICIO CENTRAL DE LA SECRETARÍA DE SEGURIDAD  PÚBLICA DEL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6,700,000.0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MODERNIZACION DE LOS ESPACIOS CULTURALES UBICADOS EN LA CIUDAD DE MERIDA, YUCATAN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6,499,000.0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TELCHAC PUERTO - DZILAM DE BRAVO, TRAMO: 0+000-39+315, EN LOS MUNICIPIOS DE TELCHAC PUERTO, SINANCHÉ, YOBAÍN, DZIDZANTÚN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6,291,928.0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REDES HIDROMÉTRICAS PARA CIERRE DE CIRCUITOS, CAJAS DE OPERACIÓN, VÁLVULAS Y TOMAS DOMICILIARIAS DEL SECTOR 7</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6,149,179.0 </w:t>
            </w:r>
          </w:p>
        </w:tc>
      </w:tr>
      <w:tr w:rsidR="00ED3E20" w:rsidRPr="00FA1984" w:rsidTr="00D55271">
        <w:trPr>
          <w:trHeight w:val="630"/>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Elaboración del estudio sectorial de equipamiento y espacio público en el área de influencia de la Zona Económica Especial de Progreso4906-Elaboración del Estudio sectorial de vivienda en el área de influencia de la Zona Económica Especial de Progreso</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 la iglesia San Pedro y San Pablo en la localidad y municipio de Samahil,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5,977,760.0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MODERNIZACIÓN DEL CENTRO DE ARTES VISUALES</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5,950,000.0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ADQUISICIÓN DE MOBILIARIO Y EQUIPO PARA ESCUELAS DE NIVEL PRIMARIA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5,834,796.0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del Centro de Autismo en la localidad y municipio de Tekax,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5,831,430.0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del centro del adulto mayor en la localidad y municipio de Tekax,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5,831,430.0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Reconstrucción de Mercado en la localidad y municipio de Muxupip,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5,661,591.0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PARA LA CONSTRUCCIÓN DE LA CARRETERA TIHOLOP - CHIKINDZONOT, EN LOS MUNICIPIOS DE YAXCABÁ Y CHIKINDZONOT</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5,541,297.0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CONSTRUCCIÓN DE CAMPO DEPORTIVO EN LA LOCALIDAD DE LEPAN, </w:t>
            </w:r>
            <w:r w:rsidRPr="00FA1984">
              <w:rPr>
                <w:rFonts w:ascii="Barlow" w:eastAsia="Times New Roman" w:hAnsi="Barlow" w:cs="Calibri"/>
                <w:color w:val="000000"/>
                <w:lang w:eastAsia="es-MX"/>
              </w:rPr>
              <w:lastRenderedPageBreak/>
              <w:t>MUNICIPIO DE TECOH,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xml:space="preserve">                      5,495,917.0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CONSTRUCCIÓN DE CAMPO DEPORTIVO EN LA LOCALIDAD DE SOTUTA DE PEÓN, MUNICIPIO DE TECOH,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5,366,900.0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TIXPÉHUAL -SAHÉ, TRAMO: 0+000-6+650, EN EL MUNICIPIO DE TIXPÉHUAL</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5,339,245.0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NOHUAYÚN - TETIZ, TRAMO: 0+000-3+790, EN EL MUNICIPIO DE TETIZ</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5,339,245.0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DE PREINVERSIÓN PARA LA CONTRUCCIÓN DEL CENTRO DE ALTO RENDIMIENTO DEPORTIVO, EN EL MUNICIPIO DE MÉRIDA,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Elaboración del Estudio Sectorial de Movilidad y Transporte para el área de Influencia de la ZEE de Progreso.</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MERCADO EN LA LOCALIDAD Y MUNICIPIO DE TELCHAC PUEBLO,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4,825,000.0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EMERGENTE A PLANTELES DE EDUCACIÓN PRIMARIA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4,002,110.0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DE PREINVERSIÓN PARA LA CONSTRUCCIÓN DE LA ACADEMIA YUCATECA DE BEISBOL EN EL MUNICIPIO DE MÉRIDA,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EMERGENTE A PLANTELES DE EDUCACIÓN PREESCOLAR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3,919,464.0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DEL EDIFICIO DE LA UNIDAD ESPECIALIZADA PARA EL COMBATE AL SECUESTRO DE LA FISCALÍA GENERAL DEL ESTADO, EN MÉRIDA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3,904,259.0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ESPACIOS EDUCATIVOS EN EL COLEGIO DE BACHILLERES, PLANTEL KANASÍN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3,897,647.0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SUMINISTRO E INSTALACIÓN DE SISTEMA ENERGÍA FOTOVOLTAICA PARA GENERAR EL 95% DE LA ENERGÍA EMPLEADA EN LA OPERACIÓN DE LA PTAR ALEMÁN MÉRICA,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3,813,502.0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CENTRO DE SALUD EN LA LOCALIDAD Y MUNICIPIO DE BACA,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3,797,420.0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TELCHAC PUEBLO - DZIDZANTÚN, TRAMO: 0+000-24+410, EN LOS MUNICIPIOS DE TELCHAC PUEBLO, SINANCHÉ, YOBAÍN Y DZIDZANTÚN.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3,666,434.0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 LA CARRETERA TELCHAC PUEBLO - TELCHAC PUERTO, TRAMO: 0+000-15+496, EN LOS MUNICIPIOS DE TELCHAC PUEBLO Y TELCHAC PUERTO.</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3,521,092.0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ESTUDIOS PARA LA CONSTRUCCIÓN DE LA CARRETERA TEABO - CHICÁN, EN LOS MUNICIPIOS DE TEABO Y TIXMEHUAC</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3,341,680.0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AMPLIACIÓN DE RED ELÉCTRICA EN MEDIA Y BAJA TENSIÓN EN LA LOCALIDAD DE SAN AGUSTÍN (SALVADOR ALVARADO), MUNICIPIO DE </w:t>
            </w:r>
            <w:r w:rsidRPr="00FA1984">
              <w:rPr>
                <w:rFonts w:ascii="Barlow" w:eastAsia="Times New Roman" w:hAnsi="Barlow" w:cs="Calibri"/>
                <w:color w:val="000000"/>
                <w:lang w:eastAsia="es-MX"/>
              </w:rPr>
              <w:lastRenderedPageBreak/>
              <w:t>TEKAX .</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xml:space="preserve">                       3,148,156.0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AMPLIACIÓN DE RED ELÉCTRICA EN MEDIA Y BAJA TENSIÓN EN LA LOCALIDAD DE YAXCHÉ DE PEÓN, MUNICIPIO DE UCÚ .</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3,123,231.0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 ELÉCTRICA EN MEDIA Y BAJA TENSIÓN EN LA LOCALIDAD Y MUNICIPIO DE YOBAÍN .</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3,117,415.0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EQUIPAMIENTO DE ESTUFAS ECOLÓGICAS EN YUCATAN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3,080,000.0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MODERNIZACIÓN DE LAS GALERÍAS DEL TEATRO PEÓN CONTRERAS</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3,076,000.0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MANTENIMIENTO EMERGENTE A PLANTELES DE EDUCACIÓN SECUNDARIA EN EL ESTADO DE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3,023,274.0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DE PREINVERSIÓN PARA LA MODERNIZACIÓN DEL ESTADIO GENERAL SALVADOR ALVARADO EN EL MUNICIPIO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ESTUDIOS PARA LA REMODELACIÓN DE LA IMAGEN URBANA DE LA LOCALIDAD Y MUNICIPIO DE PROGRESO,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y mantenimiento del Registro Civil de la localidad y municipio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2,950,000.0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 ELÉCTRICA EN MEDIA Y BAJA TENSIÓN EN LA LOCALIDAD DE XOHUAYÁN, MUNICIPIO DE OXKUTZCAB .</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2,925,879.0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PROGRAMA DE EQUIPAMIENTO ESPECIALIZADO DE LOS LABORATORIOS DE LA UNIVERSIDAD TECNÓLOGICA DEL CENTRO.</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2,855,433.0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UN AULA DE TUTORÍAS EN EL CECYTEY, PLANTEL ESPITA</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2,834,652.0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Mercado de en la localidad de Chabihau, municipio de Yobaín,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2,830,000.0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CENTRO DE SALUD DE LA LOCALIDAD Y MUNICIPIO DE HOCTÚN,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2,776,356.0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CENTRO DE SALUD EN LA LOCALIDAD Y MUNICIPIO DE PANABÁ,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2,776,356.0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 DE PREINVERSIÓN PARA LA CONSTRUCCIÓN DE LA CARRETERA BOLÓN-POXILÁ, TRAMO: 0+000-4+100, EN EL MUNICIPIO DE UMÁN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2,714,000.0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CONSERVACIÓN DEL LIBRAMIENTO DE TIZIMIN, TRAMO: 0+000-12+000, EN EL MUNICIPIO DE TIZIMÍN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2,685,496.0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CUBIERTA DE CANCHA DE USOS MULTIPLES DE LA LOCALIDAD Y MUNICIPIO DE MAMA, YUCATAN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2,683,450.0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EDIFICIO QUE ALBERGA AL PALACIO DE GOBIERNO DEL ESTADO DE YUCATÁN, EN LA LOCALIDAD Y MUNICIPIO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2,645,240.0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REHABILITACIÓN DEL PARQUE INFANTIL EN LA LOCALIDAD Y MUNICIPIO DE CHAPAB, YUCATÁN.</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2,597,760.0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 Gradas y baños en el Campo Deportivo  de  la localidad de Chabihau, municipio de Yobaín,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2,570,000.0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CONSTRUCCIÓN DE OBRAS DE PROTECCIÓN A DUCTOS DE PEMEX EN EL ACCESO A LA ZONA ECONÓMICA ESPECIAL DE PROGRESO</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CONSTRUCCION DE OBRAS DE PROTECCION A DUCTOS DE PEMEX EN EL PSV DE ANIKABIL</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 ELÉCTRICA EN MEDIA Y BAJA TENSIÓN EN LA LOCALIDAD DE KIKTEIL, MUNICIPIO DE MÉRIDA .</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2,461,791.0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ADQUISICIÓN DE MOBILIARIO Y EQUIPO PARA ESCUELAS DE NIVEL PREESCOLAR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2,371,620.0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 ELÉCTRICA EN MEDIA Y BAJA TENSIÓN EN LA LOCALIDAD DE KOPTÉ, MUNICIPIO DE MOTUL .</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2,137,475.0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DEL CENTRO INTEGRAL DE MEJORAMIENTO GENÉTICO GANADERO EN EL MUNICIPIO DE TIZIMÍN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 DE PREINVERSIÓN PARA LA CONSTRUCCIÓN DEL PSV DE TIXCACAL KM 46+740 DEL PERIFÉRICO DE LA CIUDAD DE MÉRIDA</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 DE PREINVERSIÓN PARA LA CONSTRUCCIÓN DEL PSV DEL FRACC. JUAN PABLO KM 43+605 DEL PERIFÉRICO DE LA CIUDAD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ESTUDIO DE PREINVERSIÓN PARA LA CONSTRUCCIÓN DEL PSV PERIFÉRICO-COMPLEJO DE SEGURIDAD</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2,000,000.0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ESPACIOS EDUCATIVOS EN EL COLEGIO DE BACHILLERES, PLANTEL TICUL</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1,653,547.0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CONSTRUCCIÓN Y EQUIPAMIENTO DE ESPACIOS EDUCATIVOS EN EL COLEGIO DE BACHILLERES, PLANTEL TIXKOKOB</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1,653,547.0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ADQUISICIÓN DE MOBILIARIO Y EQUIPO PARA ESCUELAS DE NIVEL SECUNDARIA EN EL ESTADO DE YUCATÁN</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1,629,034.0 </w:t>
            </w:r>
          </w:p>
        </w:tc>
      </w:tr>
      <w:tr w:rsidR="00ED3E20" w:rsidRPr="00FA1984" w:rsidTr="00D55271">
        <w:trPr>
          <w:trHeight w:val="315"/>
        </w:trPr>
        <w:tc>
          <w:tcPr>
            <w:tcW w:w="0" w:type="auto"/>
            <w:tcBorders>
              <w:top w:val="nil"/>
              <w:left w:val="nil"/>
              <w:bottom w:val="dotted" w:sz="4" w:space="0" w:color="948A54"/>
              <w:right w:val="nil"/>
            </w:tcBorders>
            <w:shd w:val="clear" w:color="auto" w:fill="auto"/>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AMPLIACIÓN DE RED ELÉCTRICA EN MEDIA Y BAJA TENSIÓN EN LA LOCALIDAD DE DZIDZILCHÉ, MUNICIPIO DE MÉRIDA .</w:t>
            </w:r>
          </w:p>
        </w:tc>
        <w:tc>
          <w:tcPr>
            <w:tcW w:w="0" w:type="auto"/>
            <w:tcBorders>
              <w:top w:val="nil"/>
              <w:left w:val="nil"/>
              <w:bottom w:val="dotted" w:sz="4" w:space="0" w:color="948A54"/>
              <w:right w:val="nil"/>
            </w:tcBorders>
            <w:shd w:val="clear" w:color="auto" w:fill="auto"/>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1,585,073.0 </w:t>
            </w:r>
          </w:p>
        </w:tc>
      </w:tr>
      <w:tr w:rsidR="00ED3E20" w:rsidRPr="00FA1984" w:rsidTr="00D55271">
        <w:trPr>
          <w:trHeight w:val="315"/>
        </w:trPr>
        <w:tc>
          <w:tcPr>
            <w:tcW w:w="0" w:type="auto"/>
            <w:tcBorders>
              <w:top w:val="nil"/>
              <w:left w:val="nil"/>
              <w:bottom w:val="dotted" w:sz="4" w:space="0" w:color="948A54"/>
              <w:right w:val="nil"/>
            </w:tcBorders>
            <w:shd w:val="clear" w:color="000000" w:fill="F2F2F2"/>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EQUIPAMIENTO DEL TALLER DE CÓMPUTO EN EL CENTRO DE ESTUDIOS CIENTÍFICOS, PLANTEL 06 EMILIANO ZAPATA, LOCALIDAD Y MUNICIPIO DE MÉRIDA</w:t>
            </w:r>
          </w:p>
        </w:tc>
        <w:tc>
          <w:tcPr>
            <w:tcW w:w="0" w:type="auto"/>
            <w:tcBorders>
              <w:top w:val="nil"/>
              <w:left w:val="nil"/>
              <w:bottom w:val="dotted" w:sz="4" w:space="0" w:color="948A54"/>
              <w:right w:val="nil"/>
            </w:tcBorders>
            <w:shd w:val="clear" w:color="000000" w:fill="F2F2F2"/>
            <w:noWrap/>
            <w:vAlign w:val="center"/>
            <w:hideMark/>
          </w:tcPr>
          <w:p w:rsidR="00ED3E20" w:rsidRPr="00FA1984" w:rsidRDefault="00ED3E20" w:rsidP="00D55271">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1,535,437.0 </w:t>
            </w:r>
          </w:p>
        </w:tc>
      </w:tr>
      <w:tr w:rsidR="00ED3E20" w:rsidRPr="00FA1984" w:rsidTr="00D55271">
        <w:trPr>
          <w:trHeight w:val="315"/>
        </w:trPr>
        <w:tc>
          <w:tcPr>
            <w:tcW w:w="0" w:type="auto"/>
            <w:tcBorders>
              <w:top w:val="nil"/>
              <w:left w:val="nil"/>
              <w:bottom w:val="nil"/>
              <w:right w:val="nil"/>
            </w:tcBorders>
            <w:shd w:val="clear" w:color="auto" w:fill="auto"/>
            <w:vAlign w:val="bottom"/>
            <w:hideMark/>
          </w:tcPr>
          <w:p w:rsidR="00ED3E20" w:rsidRPr="00FA1984" w:rsidRDefault="00ED3E20" w:rsidP="00D55271">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TOTAL</w:t>
            </w:r>
          </w:p>
        </w:tc>
        <w:tc>
          <w:tcPr>
            <w:tcW w:w="0" w:type="auto"/>
            <w:tcBorders>
              <w:top w:val="nil"/>
              <w:left w:val="nil"/>
              <w:bottom w:val="nil"/>
              <w:right w:val="nil"/>
            </w:tcBorders>
            <w:shd w:val="clear" w:color="auto" w:fill="auto"/>
            <w:noWrap/>
            <w:vAlign w:val="center"/>
            <w:hideMark/>
          </w:tcPr>
          <w:p w:rsidR="00ED3E20" w:rsidRPr="00FA1984" w:rsidRDefault="00ED3E20" w:rsidP="00D55271">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1,673,530,066.0 </w:t>
            </w:r>
          </w:p>
        </w:tc>
      </w:tr>
    </w:tbl>
    <w:p w:rsidR="006E1868" w:rsidRDefault="006E1868" w:rsidP="001700E7">
      <w:pPr>
        <w:spacing w:before="120" w:line="276" w:lineRule="auto"/>
        <w:jc w:val="both"/>
        <w:rPr>
          <w:rFonts w:ascii="Barlow Medium" w:eastAsiaTheme="minorHAnsi" w:hAnsi="Barlow Medium" w:cs="Arial"/>
          <w:color w:val="000000"/>
          <w:lang w:val="es-ES" w:eastAsia="en-US"/>
        </w:rPr>
      </w:pPr>
    </w:p>
    <w:p w:rsidR="006E1868" w:rsidRDefault="006E1868" w:rsidP="001700E7">
      <w:pPr>
        <w:spacing w:before="120" w:line="276" w:lineRule="auto"/>
        <w:jc w:val="both"/>
        <w:rPr>
          <w:rFonts w:ascii="Barlow Medium" w:eastAsiaTheme="minorHAnsi" w:hAnsi="Barlow Medium" w:cs="Arial"/>
          <w:color w:val="000000"/>
          <w:lang w:val="es-ES" w:eastAsia="en-US"/>
        </w:rPr>
      </w:pPr>
    </w:p>
    <w:p w:rsidR="0064715E" w:rsidRDefault="0064715E" w:rsidP="001700E7">
      <w:pPr>
        <w:spacing w:before="120" w:line="276" w:lineRule="auto"/>
        <w:jc w:val="both"/>
        <w:rPr>
          <w:rFonts w:ascii="Barlow Medium" w:eastAsiaTheme="minorHAnsi" w:hAnsi="Barlow Medium" w:cs="Arial"/>
          <w:color w:val="000000"/>
          <w:lang w:val="es-ES" w:eastAsia="en-US"/>
        </w:rPr>
      </w:pPr>
    </w:p>
    <w:p w:rsidR="004850C2" w:rsidRDefault="004850C2" w:rsidP="004850C2">
      <w:pPr>
        <w:jc w:val="center"/>
        <w:rPr>
          <w:rFonts w:ascii="Barlow Medium" w:hAnsi="Barlow Medium" w:cs="Arial"/>
          <w:b/>
          <w:lang w:val="es-MX"/>
        </w:rPr>
      </w:pPr>
      <w:r>
        <w:rPr>
          <w:rFonts w:ascii="Barlow Medium" w:hAnsi="Barlow Medium" w:cs="Arial"/>
          <w:b/>
        </w:rPr>
        <w:t>Anexo 16a. Anexo Presupuestario Transversal de Inversión para la Infancia temprana</w:t>
      </w:r>
    </w:p>
    <w:p w:rsidR="004850C2" w:rsidRDefault="004850C2" w:rsidP="004850C2">
      <w:pPr>
        <w:autoSpaceDE w:val="0"/>
        <w:autoSpaceDN w:val="0"/>
        <w:adjustRightInd w:val="0"/>
        <w:rPr>
          <w:rFonts w:ascii="Barlow Medium" w:hAnsi="Barlow Medium" w:cs="Arial"/>
          <w:b/>
        </w:rPr>
      </w:pPr>
      <w:r>
        <w:rPr>
          <w:rFonts w:ascii="Barlow Medium" w:hAnsi="Barlow Medium" w:cs="Arial"/>
          <w:b/>
        </w:rPr>
        <w:t>Metodología</w:t>
      </w:r>
    </w:p>
    <w:p w:rsidR="0064715E" w:rsidRDefault="0064715E" w:rsidP="004850C2">
      <w:pPr>
        <w:autoSpaceDE w:val="0"/>
        <w:autoSpaceDN w:val="0"/>
        <w:adjustRightInd w:val="0"/>
        <w:rPr>
          <w:rFonts w:ascii="Barlow Medium" w:hAnsi="Barlow Medium" w:cs="Arial"/>
          <w:b/>
        </w:rPr>
      </w:pP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lastRenderedPageBreak/>
        <w:t>Para efectos de este anexo se utilizó la metodología desarrollada de forma conjunta por Unicef y la Fundación IDEA, y se basó en la adaptación al contexto mexicano de un planteamiento metodológico ya aplicado por Unicef en otros países de Latinoamérica</w:t>
      </w:r>
      <w:r>
        <w:rPr>
          <w:rStyle w:val="Refdenotaalpie"/>
          <w:rFonts w:ascii="Barlow Medium" w:hAnsi="Barlow Medium" w:cs="Arial"/>
          <w:color w:val="000000"/>
        </w:rPr>
        <w:footnoteReference w:id="1"/>
      </w:r>
      <w:r>
        <w:rPr>
          <w:rFonts w:ascii="Barlow Medium" w:hAnsi="Barlow Medium" w:cs="Arial"/>
          <w:color w:val="000000"/>
        </w:rPr>
        <w:t>.</w:t>
      </w:r>
    </w:p>
    <w:p w:rsidR="004850C2" w:rsidRDefault="004850C2" w:rsidP="004850C2">
      <w:pPr>
        <w:jc w:val="both"/>
        <w:rPr>
          <w:rFonts w:ascii="Barlow Medium" w:hAnsi="Barlow Medium" w:cs="Arial"/>
        </w:rPr>
      </w:pPr>
      <w:r>
        <w:rPr>
          <w:rFonts w:ascii="Barlow Medium" w:hAnsi="Barlow Medium" w:cs="Arial"/>
        </w:rPr>
        <w:t>Los pasos a seguir para la integración de este Anexo fueron:</w:t>
      </w:r>
    </w:p>
    <w:p w:rsidR="004850C2" w:rsidRDefault="004850C2" w:rsidP="004850C2">
      <w:pPr>
        <w:jc w:val="both"/>
        <w:rPr>
          <w:rFonts w:ascii="Barlow Medium" w:hAnsi="Barlow Medium" w:cs="Arial"/>
        </w:rPr>
      </w:pPr>
      <w:r>
        <w:rPr>
          <w:rFonts w:ascii="Barlow Medium" w:hAnsi="Barlow Medium" w:cs="Arial"/>
          <w:b/>
        </w:rPr>
        <w:t xml:space="preserve">Paso 1. </w:t>
      </w:r>
      <w:r>
        <w:rPr>
          <w:rFonts w:ascii="Barlow Medium" w:hAnsi="Barlow Medium" w:cs="Arial"/>
        </w:rPr>
        <w:t>Se identificaron por institución responsable las Unidades Básicas de Presupuestación (UBP) que forman parte del Anteproyecto de Presupuesto 2019 y que destinan parcial o totalmente su presupuesto al Desarrollo Infantil Temprano.</w:t>
      </w:r>
    </w:p>
    <w:p w:rsidR="004850C2" w:rsidRDefault="004850C2" w:rsidP="004850C2">
      <w:pPr>
        <w:jc w:val="both"/>
        <w:rPr>
          <w:rFonts w:ascii="Barlow Medium" w:hAnsi="Barlow Medium" w:cs="Arial"/>
        </w:rPr>
      </w:pPr>
      <w:r>
        <w:rPr>
          <w:rFonts w:ascii="Barlow Medium" w:hAnsi="Barlow Medium" w:cs="Arial"/>
        </w:rPr>
        <w:t xml:space="preserve">A partir de este ejercicio no se consideraron las UBP que contemplan los gastos generales de las oficinas tales como suministro de servicios básicos, arrendamientos entre otros, ya que no tienen impacto en la atención a los niños, niñas de 0 a 5 años de edad.  </w:t>
      </w:r>
    </w:p>
    <w:p w:rsidR="004850C2" w:rsidRDefault="004850C2" w:rsidP="004850C2">
      <w:pPr>
        <w:jc w:val="both"/>
        <w:rPr>
          <w:rFonts w:ascii="Barlow Medium" w:hAnsi="Barlow Medium" w:cs="Arial"/>
        </w:rPr>
      </w:pPr>
      <w:r>
        <w:rPr>
          <w:rFonts w:ascii="Barlow Medium" w:hAnsi="Barlow Medium" w:cs="Arial"/>
        </w:rPr>
        <w:t>Una vez identificadas las unidades básicas de presupuestación, deben clasificarse considerando su población objetivo de acuerdo con las categorías siguientes:</w:t>
      </w:r>
    </w:p>
    <w:p w:rsidR="004850C2" w:rsidRPr="00B14FC0" w:rsidRDefault="004850C2" w:rsidP="00E22205">
      <w:pPr>
        <w:pStyle w:val="Prrafodelista"/>
        <w:numPr>
          <w:ilvl w:val="1"/>
          <w:numId w:val="33"/>
        </w:numPr>
        <w:spacing w:after="200" w:line="276" w:lineRule="auto"/>
        <w:jc w:val="both"/>
        <w:rPr>
          <w:rFonts w:ascii="Barlow Medium" w:hAnsi="Barlow Medium" w:cs="Arial"/>
          <w:sz w:val="24"/>
          <w:szCs w:val="24"/>
          <w:lang w:val="es-MX"/>
        </w:rPr>
      </w:pPr>
      <w:r w:rsidRPr="00B14FC0">
        <w:rPr>
          <w:rFonts w:ascii="Barlow Medium" w:hAnsi="Barlow Medium" w:cs="Arial"/>
          <w:sz w:val="24"/>
          <w:szCs w:val="24"/>
          <w:lang w:val="es-MX"/>
        </w:rPr>
        <w:t>Categoría 1. Población de 0 a 5 años.</w:t>
      </w:r>
    </w:p>
    <w:p w:rsidR="004850C2" w:rsidRPr="00B14FC0" w:rsidRDefault="004850C2" w:rsidP="00E22205">
      <w:pPr>
        <w:pStyle w:val="Prrafodelista"/>
        <w:numPr>
          <w:ilvl w:val="1"/>
          <w:numId w:val="33"/>
        </w:numPr>
        <w:spacing w:after="200" w:line="276" w:lineRule="auto"/>
        <w:jc w:val="both"/>
        <w:rPr>
          <w:rFonts w:ascii="Barlow Medium" w:hAnsi="Barlow Medium" w:cs="Arial"/>
          <w:sz w:val="24"/>
          <w:szCs w:val="24"/>
          <w:lang w:val="es-MX"/>
        </w:rPr>
      </w:pPr>
      <w:r w:rsidRPr="00B14FC0">
        <w:rPr>
          <w:rFonts w:ascii="Barlow Medium" w:hAnsi="Barlow Medium" w:cs="Arial"/>
          <w:sz w:val="24"/>
          <w:szCs w:val="24"/>
          <w:lang w:val="es-MX"/>
        </w:rPr>
        <w:t>Categoría 2. Población de 0 a 17 años.</w:t>
      </w:r>
    </w:p>
    <w:p w:rsidR="004850C2" w:rsidRPr="00B14FC0" w:rsidRDefault="004850C2" w:rsidP="00E22205">
      <w:pPr>
        <w:pStyle w:val="Prrafodelista"/>
        <w:numPr>
          <w:ilvl w:val="1"/>
          <w:numId w:val="33"/>
        </w:numPr>
        <w:spacing w:after="200" w:line="276" w:lineRule="auto"/>
        <w:jc w:val="both"/>
        <w:rPr>
          <w:rFonts w:ascii="Barlow Medium" w:hAnsi="Barlow Medium" w:cs="Arial"/>
          <w:sz w:val="24"/>
          <w:szCs w:val="24"/>
          <w:lang w:val="es-MX"/>
        </w:rPr>
      </w:pPr>
      <w:r w:rsidRPr="00B14FC0">
        <w:rPr>
          <w:rFonts w:ascii="Barlow Medium" w:hAnsi="Barlow Medium" w:cs="Arial"/>
          <w:sz w:val="24"/>
          <w:szCs w:val="24"/>
          <w:lang w:val="es-MX"/>
        </w:rPr>
        <w:t>Categoría 3. Población de 6 a 17 años.</w:t>
      </w:r>
    </w:p>
    <w:p w:rsidR="004850C2" w:rsidRPr="00B14FC0" w:rsidRDefault="004850C2" w:rsidP="00E22205">
      <w:pPr>
        <w:pStyle w:val="Prrafodelista"/>
        <w:numPr>
          <w:ilvl w:val="1"/>
          <w:numId w:val="33"/>
        </w:numPr>
        <w:spacing w:after="200" w:line="276" w:lineRule="auto"/>
        <w:jc w:val="both"/>
        <w:rPr>
          <w:rFonts w:ascii="Barlow Medium" w:hAnsi="Barlow Medium" w:cs="Arial"/>
          <w:sz w:val="24"/>
          <w:szCs w:val="24"/>
          <w:lang w:val="es-MX"/>
        </w:rPr>
      </w:pPr>
      <w:r w:rsidRPr="00B14FC0">
        <w:rPr>
          <w:rFonts w:ascii="Barlow Medium" w:hAnsi="Barlow Medium" w:cs="Arial"/>
          <w:sz w:val="24"/>
          <w:szCs w:val="24"/>
          <w:lang w:val="es-MX"/>
        </w:rPr>
        <w:t>Categoría 4. Población de 0 y más años</w:t>
      </w:r>
      <w:r>
        <w:rPr>
          <w:rStyle w:val="Refdenotaalpie"/>
          <w:rFonts w:ascii="Barlow Medium" w:hAnsi="Barlow Medium" w:cs="Arial"/>
          <w:sz w:val="24"/>
          <w:szCs w:val="24"/>
        </w:rPr>
        <w:footnoteReference w:id="2"/>
      </w:r>
      <w:r w:rsidRPr="00B14FC0">
        <w:rPr>
          <w:rFonts w:ascii="Barlow Medium" w:hAnsi="Barlow Medium" w:cs="Arial"/>
          <w:sz w:val="24"/>
          <w:szCs w:val="24"/>
          <w:lang w:val="es-MX"/>
        </w:rPr>
        <w:t xml:space="preserve">. </w:t>
      </w:r>
    </w:p>
    <w:p w:rsidR="004850C2" w:rsidRPr="00B14FC0" w:rsidRDefault="004850C2" w:rsidP="004850C2">
      <w:pPr>
        <w:pStyle w:val="Prrafodelista"/>
        <w:ind w:left="0"/>
        <w:jc w:val="both"/>
        <w:rPr>
          <w:rFonts w:ascii="Barlow Medium" w:hAnsi="Barlow Medium" w:cs="Arial"/>
          <w:sz w:val="24"/>
          <w:szCs w:val="24"/>
          <w:lang w:val="es-MX"/>
        </w:rPr>
      </w:pPr>
    </w:p>
    <w:p w:rsidR="004850C2" w:rsidRPr="00B14FC0" w:rsidRDefault="004850C2" w:rsidP="004850C2">
      <w:pPr>
        <w:pStyle w:val="Prrafodelista"/>
        <w:ind w:left="0"/>
        <w:jc w:val="both"/>
        <w:rPr>
          <w:rFonts w:ascii="Barlow Medium" w:hAnsi="Barlow Medium" w:cs="Arial"/>
          <w:sz w:val="24"/>
          <w:szCs w:val="24"/>
          <w:lang w:val="es-MX"/>
        </w:rPr>
      </w:pPr>
    </w:p>
    <w:p w:rsidR="004850C2" w:rsidRDefault="004850C2" w:rsidP="004850C2">
      <w:pPr>
        <w:rPr>
          <w:rFonts w:ascii="Barlow Medium" w:hAnsi="Barlow Medium" w:cs="Arial"/>
        </w:rPr>
      </w:pPr>
      <w:r>
        <w:rPr>
          <w:rFonts w:ascii="Barlow Medium" w:hAnsi="Barlow Medium" w:cs="Arial"/>
        </w:rPr>
        <w:br w:type="page"/>
      </w:r>
    </w:p>
    <w:p w:rsidR="004850C2" w:rsidRPr="00B14FC0" w:rsidRDefault="004850C2" w:rsidP="004850C2">
      <w:pPr>
        <w:pStyle w:val="Prrafodelista"/>
        <w:ind w:left="0"/>
        <w:jc w:val="both"/>
        <w:rPr>
          <w:rFonts w:ascii="Barlow Medium" w:hAnsi="Barlow Medium" w:cs="Arial"/>
          <w:sz w:val="24"/>
          <w:szCs w:val="24"/>
          <w:lang w:val="es-MX"/>
        </w:rPr>
      </w:pPr>
    </w:p>
    <w:p w:rsidR="004850C2" w:rsidRPr="00B14FC0" w:rsidRDefault="004850C2" w:rsidP="004850C2">
      <w:pPr>
        <w:pStyle w:val="Prrafodelista"/>
        <w:ind w:left="0"/>
        <w:jc w:val="center"/>
        <w:rPr>
          <w:rFonts w:ascii="Barlow Medium" w:hAnsi="Barlow Medium" w:cs="Arial"/>
          <w:b/>
          <w:sz w:val="20"/>
          <w:szCs w:val="20"/>
          <w:lang w:val="es-MX"/>
        </w:rPr>
      </w:pPr>
      <w:r w:rsidRPr="00B14FC0">
        <w:rPr>
          <w:rFonts w:ascii="Barlow Medium" w:hAnsi="Barlow Medium" w:cs="Arial"/>
          <w:b/>
          <w:sz w:val="20"/>
          <w:szCs w:val="20"/>
          <w:lang w:val="es-MX"/>
        </w:rPr>
        <w:t>Gráfico 1. Categorías para identificar la inversión en infancia temprana</w:t>
      </w:r>
    </w:p>
    <w:p w:rsidR="004850C2" w:rsidRDefault="004850C2" w:rsidP="004850C2">
      <w:pPr>
        <w:pStyle w:val="Prrafodelista"/>
        <w:ind w:left="0"/>
        <w:jc w:val="center"/>
        <w:rPr>
          <w:rFonts w:ascii="Barlow Medium" w:hAnsi="Barlow Medium" w:cs="Arial"/>
          <w:sz w:val="20"/>
          <w:szCs w:val="20"/>
        </w:rPr>
      </w:pPr>
      <w:r>
        <w:rPr>
          <w:rFonts w:ascii="Barlow Medium" w:hAnsi="Barlow Medium" w:cs="Arial"/>
          <w:noProof/>
          <w:sz w:val="20"/>
          <w:szCs w:val="20"/>
          <w:lang w:val="es-MX" w:eastAsia="es-MX"/>
        </w:rPr>
        <w:drawing>
          <wp:inline distT="0" distB="0" distL="0" distR="0">
            <wp:extent cx="3824605" cy="190754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4605" cy="1907540"/>
                    </a:xfrm>
                    <a:prstGeom prst="rect">
                      <a:avLst/>
                    </a:prstGeom>
                    <a:noFill/>
                    <a:ln>
                      <a:noFill/>
                    </a:ln>
                  </pic:spPr>
                </pic:pic>
              </a:graphicData>
            </a:graphic>
          </wp:inline>
        </w:drawing>
      </w:r>
    </w:p>
    <w:p w:rsidR="004850C2" w:rsidRPr="00B14FC0" w:rsidRDefault="004850C2" w:rsidP="004850C2">
      <w:pPr>
        <w:pStyle w:val="Prrafodelista"/>
        <w:ind w:left="0"/>
        <w:jc w:val="center"/>
        <w:rPr>
          <w:rFonts w:ascii="Barlow Medium" w:hAnsi="Barlow Medium" w:cs="Arial"/>
          <w:sz w:val="20"/>
          <w:szCs w:val="20"/>
          <w:lang w:val="es-MX"/>
        </w:rPr>
      </w:pPr>
      <w:r w:rsidRPr="00B14FC0">
        <w:rPr>
          <w:rFonts w:ascii="Barlow Medium" w:hAnsi="Barlow Medium" w:cs="Arial"/>
          <w:sz w:val="20"/>
          <w:szCs w:val="20"/>
          <w:lang w:val="es-MX"/>
        </w:rPr>
        <w:t>Fuente: Elaboración propia con datos de Unicef.</w:t>
      </w:r>
    </w:p>
    <w:p w:rsidR="004850C2" w:rsidRPr="00B14FC0" w:rsidRDefault="004850C2" w:rsidP="004850C2">
      <w:pPr>
        <w:pStyle w:val="Prrafodelista"/>
        <w:ind w:left="0"/>
        <w:jc w:val="center"/>
        <w:rPr>
          <w:rFonts w:ascii="Barlow Medium" w:hAnsi="Barlow Medium" w:cs="Arial"/>
          <w:sz w:val="20"/>
          <w:szCs w:val="20"/>
          <w:lang w:val="es-MX"/>
        </w:rPr>
      </w:pPr>
    </w:p>
    <w:p w:rsidR="004850C2" w:rsidRPr="00B14FC0" w:rsidRDefault="004850C2" w:rsidP="004850C2">
      <w:pPr>
        <w:pStyle w:val="Prrafodelista"/>
        <w:ind w:left="0"/>
        <w:jc w:val="center"/>
        <w:rPr>
          <w:rFonts w:ascii="Barlow Medium" w:hAnsi="Barlow Medium" w:cs="Arial"/>
          <w:sz w:val="24"/>
          <w:szCs w:val="24"/>
          <w:lang w:val="es-MX"/>
        </w:rPr>
      </w:pPr>
    </w:p>
    <w:p w:rsidR="004850C2" w:rsidRDefault="004850C2" w:rsidP="004850C2">
      <w:pPr>
        <w:jc w:val="both"/>
        <w:rPr>
          <w:rFonts w:ascii="Barlow Medium" w:hAnsi="Barlow Medium" w:cs="Arial"/>
        </w:rPr>
      </w:pPr>
      <w:r>
        <w:rPr>
          <w:rFonts w:ascii="Barlow Medium" w:hAnsi="Barlow Medium" w:cs="Arial"/>
        </w:rPr>
        <w:t>Una vez realizada esta clasificación, las UBP agrupadas en la categoría 1 son consideradas como inversión directa a la infancia temprana.</w:t>
      </w:r>
    </w:p>
    <w:p w:rsidR="004850C2" w:rsidRPr="00B14FC0" w:rsidRDefault="004850C2" w:rsidP="004850C2">
      <w:pPr>
        <w:pStyle w:val="Prrafodelista"/>
        <w:ind w:left="0"/>
        <w:jc w:val="both"/>
        <w:rPr>
          <w:rFonts w:ascii="Barlow Medium" w:hAnsi="Barlow Medium" w:cs="Arial"/>
          <w:sz w:val="24"/>
          <w:szCs w:val="24"/>
          <w:lang w:val="es-MX"/>
        </w:rPr>
      </w:pPr>
      <w:r w:rsidRPr="00B14FC0">
        <w:rPr>
          <w:rFonts w:ascii="Barlow Medium" w:hAnsi="Barlow Medium" w:cs="Arial"/>
          <w:sz w:val="24"/>
          <w:szCs w:val="24"/>
          <w:lang w:val="es-MX"/>
        </w:rPr>
        <w:t>Es decir, se seleccionaron aquellas UBP destinadas a financiar programas que benefician en forma directa a niños y niñas de 0 a 5 años y aquellas que atienden necesidades de fortalecimiento de los agentes que actúan a favor de los infantes (padres y tutores; así como los profesionales enfocados de forma exclusiva a la atención de los menores, como maestros y pediatras), en su rol de agentes del niño. También se consideró la inversión en infraestructura diseñada considerando las necesidades de los niños y niñas.</w:t>
      </w:r>
    </w:p>
    <w:p w:rsidR="004850C2" w:rsidRDefault="004850C2" w:rsidP="004850C2">
      <w:pPr>
        <w:jc w:val="both"/>
        <w:rPr>
          <w:rFonts w:ascii="Barlow Medium" w:hAnsi="Barlow Medium" w:cs="Arial"/>
        </w:rPr>
      </w:pPr>
      <w:r>
        <w:rPr>
          <w:rFonts w:ascii="Barlow Medium" w:hAnsi="Barlow Medium" w:cs="Arial"/>
        </w:rPr>
        <w:t xml:space="preserve">Las UBP relacionadas dentro de la categoría 2 y 4, se consideran como inversión que debe ser ponderada, ya que atiende a grupos de población más amplios que los considerados para el rubro de infancia temprana. </w:t>
      </w:r>
    </w:p>
    <w:p w:rsidR="004850C2" w:rsidRDefault="004850C2" w:rsidP="004850C2">
      <w:pPr>
        <w:jc w:val="both"/>
        <w:rPr>
          <w:rFonts w:ascii="Barlow Medium" w:hAnsi="Barlow Medium" w:cs="Arial"/>
        </w:rPr>
      </w:pPr>
      <w:r>
        <w:rPr>
          <w:rFonts w:ascii="Barlow Medium" w:hAnsi="Barlow Medium" w:cs="Arial"/>
        </w:rPr>
        <w:t xml:space="preserve">Las UBP que se clasifiquen en la categoría 3 “Población de 6 a 17 años” no se consideran en el análisis debido a que no atienden directa o indirectamente a población de 0 a 5 años. </w:t>
      </w:r>
    </w:p>
    <w:p w:rsidR="004850C2" w:rsidRDefault="004850C2" w:rsidP="004850C2">
      <w:pPr>
        <w:jc w:val="both"/>
        <w:rPr>
          <w:rFonts w:ascii="Barlow Medium" w:hAnsi="Barlow Medium" w:cs="Arial"/>
        </w:rPr>
      </w:pP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b/>
          <w:color w:val="000000"/>
        </w:rPr>
        <w:t xml:space="preserve">Paso 2. </w:t>
      </w:r>
      <w:r>
        <w:rPr>
          <w:rFonts w:ascii="Barlow Medium" w:hAnsi="Barlow Medium" w:cs="Arial"/>
          <w:color w:val="000000"/>
        </w:rPr>
        <w:t>Una vez identificadas las UBP, éstas se clasificaron de acuerdo con los derechos de la niñez estipulados en la Convención de los Derechos del Niño (CDN), y desglosa éstos en temas específicos (Tabla1):</w:t>
      </w: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1. Derechos de la Niñez</w:t>
      </w:r>
    </w:p>
    <w:tbl>
      <w:tblPr>
        <w:tblW w:w="4293" w:type="pct"/>
        <w:jc w:val="center"/>
        <w:tblBorders>
          <w:top w:val="single" w:sz="4" w:space="0" w:color="auto"/>
          <w:left w:val="single" w:sz="4" w:space="0" w:color="auto"/>
          <w:bottom w:val="single" w:sz="4" w:space="0" w:color="auto"/>
          <w:right w:val="single" w:sz="4" w:space="0" w:color="auto"/>
          <w:insideH w:val="single" w:sz="8" w:space="0" w:color="4A66AC" w:themeColor="accent1"/>
        </w:tblBorders>
        <w:tblLook w:val="04A0"/>
      </w:tblPr>
      <w:tblGrid>
        <w:gridCol w:w="1616"/>
        <w:gridCol w:w="4470"/>
        <w:gridCol w:w="2603"/>
      </w:tblGrid>
      <w:tr w:rsidR="004850C2" w:rsidTr="004850C2">
        <w:trPr>
          <w:trHeight w:val="647"/>
          <w:jc w:val="center"/>
        </w:trPr>
        <w:tc>
          <w:tcPr>
            <w:tcW w:w="930" w:type="pct"/>
            <w:tcBorders>
              <w:top w:val="single" w:sz="4" w:space="0" w:color="auto"/>
              <w:left w:val="single" w:sz="4" w:space="0" w:color="auto"/>
              <w:bottom w:val="single" w:sz="4" w:space="0" w:color="auto"/>
              <w:right w:val="nil"/>
            </w:tcBorders>
            <w:shd w:val="clear" w:color="auto" w:fill="16365C"/>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Derecho</w:t>
            </w:r>
          </w:p>
        </w:tc>
        <w:tc>
          <w:tcPr>
            <w:tcW w:w="2572" w:type="pct"/>
            <w:tcBorders>
              <w:top w:val="single" w:sz="4" w:space="0" w:color="auto"/>
              <w:left w:val="nil"/>
              <w:bottom w:val="single" w:sz="4" w:space="0" w:color="auto"/>
              <w:right w:val="nil"/>
            </w:tcBorders>
            <w:shd w:val="clear" w:color="auto" w:fill="16365C"/>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Conceptualización</w:t>
            </w:r>
          </w:p>
        </w:tc>
        <w:tc>
          <w:tcPr>
            <w:tcW w:w="1498" w:type="pct"/>
            <w:tcBorders>
              <w:top w:val="single" w:sz="4" w:space="0" w:color="auto"/>
              <w:left w:val="nil"/>
              <w:bottom w:val="single" w:sz="4" w:space="0" w:color="auto"/>
              <w:right w:val="single" w:sz="4" w:space="0" w:color="auto"/>
            </w:tcBorders>
            <w:shd w:val="clear" w:color="auto" w:fill="16365C"/>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Tema Específico</w:t>
            </w:r>
          </w:p>
        </w:tc>
      </w:tr>
      <w:tr w:rsidR="004850C2" w:rsidTr="004850C2">
        <w:trPr>
          <w:jc w:val="center"/>
        </w:trPr>
        <w:tc>
          <w:tcPr>
            <w:tcW w:w="930" w:type="pct"/>
            <w:tcBorders>
              <w:top w:val="single" w:sz="4" w:space="0" w:color="auto"/>
              <w:left w:val="single" w:sz="4" w:space="0" w:color="auto"/>
              <w:bottom w:val="dotted" w:sz="4" w:space="0" w:color="auto"/>
              <w:right w:val="nil"/>
            </w:tcBorders>
            <w:shd w:val="clear" w:color="auto" w:fill="D9D9D9" w:themeFill="background1" w:themeFillShade="D9"/>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t>Derecho a la Supervivencia</w:t>
            </w:r>
          </w:p>
        </w:tc>
        <w:tc>
          <w:tcPr>
            <w:tcW w:w="2572" w:type="pct"/>
            <w:tcBorders>
              <w:top w:val="single" w:sz="4" w:space="0" w:color="auto"/>
              <w:left w:val="nil"/>
              <w:bottom w:val="dotted" w:sz="4" w:space="0" w:color="auto"/>
              <w:right w:val="nil"/>
            </w:tcBorders>
            <w:shd w:val="clear" w:color="auto" w:fill="D9D9D9" w:themeFill="background1" w:themeFillShade="D9"/>
            <w:hideMark/>
          </w:tcPr>
          <w:p w:rsidR="004850C2" w:rsidRDefault="004850C2">
            <w:pPr>
              <w:autoSpaceDE w:val="0"/>
              <w:autoSpaceDN w:val="0"/>
              <w:adjustRightInd w:val="0"/>
              <w:jc w:val="both"/>
              <w:rPr>
                <w:rFonts w:ascii="Barlow Medium" w:hAnsi="Barlow Medium" w:cs="Arial"/>
                <w:color w:val="000000"/>
                <w:sz w:val="20"/>
                <w:szCs w:val="20"/>
              </w:rPr>
            </w:pPr>
            <w:r>
              <w:rPr>
                <w:rFonts w:ascii="Barlow Medium" w:hAnsi="Barlow Medium" w:cs="Arial"/>
                <w:sz w:val="20"/>
                <w:szCs w:val="20"/>
              </w:rPr>
              <w:t xml:space="preserve">Se refiere al derecho a los recursos, las aptitudes y las contribuciones necesarias para la </w:t>
            </w:r>
            <w:r>
              <w:rPr>
                <w:rFonts w:ascii="Barlow Medium" w:hAnsi="Barlow Medium" w:cs="Arial"/>
                <w:sz w:val="20"/>
                <w:szCs w:val="20"/>
              </w:rPr>
              <w:lastRenderedPageBreak/>
              <w:t>supervivencia del niño. Estos derechos exigen que existan los medios para lograr que se cumplan, y también que se garantice el acceso a ellos.</w:t>
            </w:r>
          </w:p>
        </w:tc>
        <w:tc>
          <w:tcPr>
            <w:tcW w:w="1498" w:type="pct"/>
            <w:tcBorders>
              <w:top w:val="single" w:sz="4" w:space="0" w:color="auto"/>
              <w:left w:val="nil"/>
              <w:bottom w:val="dotted" w:sz="4" w:space="0" w:color="auto"/>
              <w:right w:val="single" w:sz="4" w:space="0" w:color="auto"/>
            </w:tcBorders>
            <w:shd w:val="clear" w:color="auto" w:fill="D9D9D9" w:themeFill="background1" w:themeFillShade="D9"/>
            <w:hideMark/>
          </w:tcPr>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lastRenderedPageBreak/>
              <w:t>Salud</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 xml:space="preserve">Vivienda y su </w:t>
            </w:r>
            <w:r>
              <w:rPr>
                <w:rFonts w:ascii="Barlow Medium" w:hAnsi="Barlow Medium" w:cs="Arial"/>
                <w:color w:val="000000"/>
                <w:sz w:val="20"/>
                <w:szCs w:val="20"/>
              </w:rPr>
              <w:lastRenderedPageBreak/>
              <w:t>infraestructura</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Alimentación y Nutrición</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Asistencia social</w:t>
            </w:r>
          </w:p>
        </w:tc>
      </w:tr>
      <w:tr w:rsidR="004850C2" w:rsidTr="004850C2">
        <w:trPr>
          <w:jc w:val="center"/>
        </w:trPr>
        <w:tc>
          <w:tcPr>
            <w:tcW w:w="930" w:type="pct"/>
            <w:tcBorders>
              <w:top w:val="dotted" w:sz="4" w:space="0" w:color="auto"/>
              <w:left w:val="single" w:sz="4" w:space="0" w:color="auto"/>
              <w:bottom w:val="dotted" w:sz="4" w:space="0" w:color="auto"/>
              <w:right w:val="nil"/>
            </w:tcBorders>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lastRenderedPageBreak/>
              <w:t>Derecho al Desarrollo</w:t>
            </w:r>
          </w:p>
        </w:tc>
        <w:tc>
          <w:tcPr>
            <w:tcW w:w="2572" w:type="pct"/>
            <w:tcBorders>
              <w:top w:val="dotted" w:sz="4" w:space="0" w:color="auto"/>
              <w:left w:val="nil"/>
              <w:bottom w:val="dotted" w:sz="4" w:space="0" w:color="auto"/>
              <w:right w:val="nil"/>
            </w:tcBorders>
            <w:hideMark/>
          </w:tcPr>
          <w:p w:rsidR="004850C2" w:rsidRDefault="004850C2">
            <w:pPr>
              <w:autoSpaceDE w:val="0"/>
              <w:autoSpaceDN w:val="0"/>
              <w:adjustRightInd w:val="0"/>
              <w:jc w:val="both"/>
              <w:rPr>
                <w:rFonts w:ascii="Barlow Medium" w:hAnsi="Barlow Medium" w:cs="Arial"/>
                <w:color w:val="000000"/>
                <w:sz w:val="20"/>
                <w:szCs w:val="20"/>
              </w:rPr>
            </w:pPr>
            <w:r>
              <w:rPr>
                <w:rFonts w:ascii="Barlow Medium" w:hAnsi="Barlow Medium"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tc>
        <w:tc>
          <w:tcPr>
            <w:tcW w:w="1498" w:type="pct"/>
            <w:tcBorders>
              <w:top w:val="dotted" w:sz="4" w:space="0" w:color="auto"/>
              <w:left w:val="nil"/>
              <w:bottom w:val="dotted" w:sz="4" w:space="0" w:color="auto"/>
              <w:right w:val="single" w:sz="4" w:space="0" w:color="auto"/>
            </w:tcBorders>
            <w:hideMark/>
          </w:tcPr>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Educación</w:t>
            </w:r>
          </w:p>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Deportes, recreación y cultura</w:t>
            </w:r>
          </w:p>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Urbanización y desarrollo regional</w:t>
            </w:r>
          </w:p>
        </w:tc>
      </w:tr>
      <w:tr w:rsidR="004850C2" w:rsidTr="004850C2">
        <w:trPr>
          <w:jc w:val="center"/>
        </w:trPr>
        <w:tc>
          <w:tcPr>
            <w:tcW w:w="930" w:type="pct"/>
            <w:tcBorders>
              <w:top w:val="dotted" w:sz="4" w:space="0" w:color="auto"/>
              <w:left w:val="single" w:sz="4" w:space="0" w:color="auto"/>
              <w:bottom w:val="dotted" w:sz="4" w:space="0" w:color="auto"/>
              <w:right w:val="nil"/>
            </w:tcBorders>
            <w:shd w:val="clear" w:color="auto" w:fill="D9D9D9" w:themeFill="background1" w:themeFillShade="D9"/>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t>Derecho a la Participación</w:t>
            </w:r>
          </w:p>
        </w:tc>
        <w:tc>
          <w:tcPr>
            <w:tcW w:w="2572" w:type="pct"/>
            <w:tcBorders>
              <w:top w:val="dotted" w:sz="4" w:space="0" w:color="auto"/>
              <w:left w:val="nil"/>
              <w:bottom w:val="dotted" w:sz="4" w:space="0" w:color="auto"/>
              <w:right w:val="nil"/>
            </w:tcBorders>
            <w:shd w:val="clear" w:color="auto" w:fill="D9D9D9" w:themeFill="background1" w:themeFillShade="D9"/>
            <w:hideMark/>
          </w:tcPr>
          <w:p w:rsidR="004850C2" w:rsidRDefault="004850C2">
            <w:pPr>
              <w:autoSpaceDE w:val="0"/>
              <w:autoSpaceDN w:val="0"/>
              <w:adjustRightInd w:val="0"/>
              <w:jc w:val="both"/>
              <w:rPr>
                <w:rFonts w:ascii="Barlow Medium" w:hAnsi="Barlow Medium" w:cs="Arial"/>
                <w:color w:val="000000"/>
                <w:sz w:val="20"/>
                <w:szCs w:val="20"/>
              </w:rPr>
            </w:pPr>
            <w:r>
              <w:rPr>
                <w:rFonts w:ascii="Barlow Medium" w:hAnsi="Barlow Medium"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1498" w:type="pct"/>
            <w:tcBorders>
              <w:top w:val="dotted" w:sz="4" w:space="0" w:color="auto"/>
              <w:left w:val="nil"/>
              <w:bottom w:val="dotted" w:sz="4" w:space="0" w:color="auto"/>
              <w:right w:val="single" w:sz="4" w:space="0" w:color="auto"/>
            </w:tcBorders>
            <w:shd w:val="clear" w:color="auto" w:fill="D9D9D9" w:themeFill="background1" w:themeFillShade="D9"/>
          </w:tcPr>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Información</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Medios masivos de comunicación</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Participación ciudadana</w:t>
            </w:r>
          </w:p>
          <w:p w:rsidR="004850C2" w:rsidRDefault="004850C2">
            <w:pPr>
              <w:autoSpaceDE w:val="0"/>
              <w:autoSpaceDN w:val="0"/>
              <w:adjustRightInd w:val="0"/>
              <w:rPr>
                <w:rFonts w:ascii="Barlow Medium" w:hAnsi="Barlow Medium" w:cs="Arial"/>
                <w:color w:val="000000"/>
                <w:sz w:val="20"/>
                <w:szCs w:val="20"/>
              </w:rPr>
            </w:pPr>
          </w:p>
        </w:tc>
      </w:tr>
      <w:tr w:rsidR="004850C2" w:rsidTr="004850C2">
        <w:trPr>
          <w:jc w:val="center"/>
        </w:trPr>
        <w:tc>
          <w:tcPr>
            <w:tcW w:w="930" w:type="pct"/>
            <w:tcBorders>
              <w:top w:val="dotted" w:sz="4" w:space="0" w:color="auto"/>
              <w:left w:val="single" w:sz="4" w:space="0" w:color="auto"/>
              <w:bottom w:val="single" w:sz="4" w:space="0" w:color="auto"/>
              <w:right w:val="nil"/>
            </w:tcBorders>
            <w:vAlign w:val="center"/>
          </w:tcPr>
          <w:p w:rsidR="004850C2" w:rsidRDefault="004850C2">
            <w:pPr>
              <w:jc w:val="center"/>
              <w:rPr>
                <w:rFonts w:ascii="Barlow Medium" w:hAnsi="Barlow Medium" w:cs="Arial"/>
                <w:sz w:val="20"/>
                <w:szCs w:val="20"/>
              </w:rPr>
            </w:pPr>
            <w:r>
              <w:rPr>
                <w:rFonts w:ascii="Barlow Medium" w:hAnsi="Barlow Medium" w:cs="Arial"/>
                <w:sz w:val="20"/>
                <w:szCs w:val="20"/>
              </w:rPr>
              <w:t>Derecho a la Protección</w:t>
            </w:r>
          </w:p>
          <w:p w:rsidR="004850C2" w:rsidRDefault="004850C2">
            <w:pPr>
              <w:autoSpaceDE w:val="0"/>
              <w:autoSpaceDN w:val="0"/>
              <w:adjustRightInd w:val="0"/>
              <w:jc w:val="center"/>
              <w:rPr>
                <w:rFonts w:ascii="Barlow Medium" w:hAnsi="Barlow Medium" w:cs="Arial"/>
                <w:color w:val="000000"/>
                <w:sz w:val="20"/>
                <w:szCs w:val="20"/>
              </w:rPr>
            </w:pPr>
          </w:p>
        </w:tc>
        <w:tc>
          <w:tcPr>
            <w:tcW w:w="2572" w:type="pct"/>
            <w:tcBorders>
              <w:top w:val="dotted" w:sz="4" w:space="0" w:color="auto"/>
              <w:left w:val="nil"/>
              <w:bottom w:val="single" w:sz="4" w:space="0" w:color="auto"/>
              <w:right w:val="nil"/>
            </w:tcBorders>
            <w:hideMark/>
          </w:tcPr>
          <w:p w:rsidR="004850C2" w:rsidRDefault="004850C2">
            <w:pPr>
              <w:autoSpaceDE w:val="0"/>
              <w:autoSpaceDN w:val="0"/>
              <w:adjustRightInd w:val="0"/>
              <w:jc w:val="both"/>
              <w:rPr>
                <w:rFonts w:ascii="Barlow Medium" w:hAnsi="Barlow Medium" w:cs="Arial"/>
                <w:color w:val="000000"/>
                <w:sz w:val="20"/>
                <w:szCs w:val="20"/>
              </w:rPr>
            </w:pPr>
            <w:r>
              <w:rPr>
                <w:rFonts w:ascii="Barlow Medium" w:hAnsi="Barlow Medium"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1498" w:type="pct"/>
            <w:tcBorders>
              <w:top w:val="dotted" w:sz="4" w:space="0" w:color="auto"/>
              <w:left w:val="nil"/>
              <w:bottom w:val="single" w:sz="4" w:space="0" w:color="auto"/>
              <w:right w:val="single" w:sz="4" w:space="0" w:color="auto"/>
            </w:tcBorders>
            <w:hideMark/>
          </w:tcPr>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Seguridad Legal</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Discriminación</w:t>
            </w:r>
          </w:p>
        </w:tc>
      </w:tr>
    </w:tbl>
    <w:p w:rsidR="004850C2" w:rsidRPr="00B14FC0" w:rsidRDefault="004850C2" w:rsidP="004850C2">
      <w:pPr>
        <w:pStyle w:val="Prrafodelista"/>
        <w:ind w:left="0"/>
        <w:jc w:val="center"/>
        <w:rPr>
          <w:rFonts w:ascii="Barlow Medium" w:eastAsiaTheme="minorEastAsia" w:hAnsi="Barlow Medium" w:cs="Arial"/>
          <w:sz w:val="24"/>
          <w:szCs w:val="24"/>
          <w:lang w:val="es-MX" w:eastAsia="es-MX"/>
        </w:rPr>
      </w:pPr>
      <w:r w:rsidRPr="00B14FC0">
        <w:rPr>
          <w:rFonts w:ascii="Barlow Medium" w:hAnsi="Barlow Medium" w:cs="Arial"/>
          <w:sz w:val="20"/>
          <w:szCs w:val="20"/>
          <w:lang w:val="es-MX"/>
        </w:rPr>
        <w:t>Fuente: Elaboración propia con datos de Unicef.</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b/>
          <w:color w:val="000000"/>
        </w:rPr>
        <w:t xml:space="preserve">Paso 3. </w:t>
      </w:r>
      <w:r>
        <w:rPr>
          <w:rFonts w:ascii="Barlow Medium" w:hAnsi="Barlow Medium" w:cs="Arial"/>
          <w:color w:val="000000"/>
        </w:rPr>
        <w:t xml:space="preserve">Posteriormente, se determinó el grado de focalización de la inversión en la infancia en el Estado, clasificando las UBP en alguna de las cuatro categorías de especificidad de la inversión: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color w:val="000000"/>
          <w:sz w:val="24"/>
          <w:szCs w:val="24"/>
          <w:lang w:val="es-MX"/>
        </w:rPr>
      </w:pPr>
      <w:r w:rsidRPr="00B14FC0">
        <w:rPr>
          <w:rFonts w:ascii="Barlow Medium" w:hAnsi="Barlow Medium" w:cs="Arial"/>
          <w:i/>
          <w:color w:val="000000"/>
          <w:sz w:val="24"/>
          <w:szCs w:val="24"/>
          <w:lang w:val="es-MX"/>
        </w:rPr>
        <w:t>Inversión específica</w:t>
      </w:r>
      <w:r w:rsidRPr="00B14FC0">
        <w:rPr>
          <w:rFonts w:ascii="Barlow Medium" w:hAnsi="Barlow Medium" w:cs="Arial"/>
          <w:color w:val="000000"/>
          <w:sz w:val="24"/>
          <w:szCs w:val="24"/>
          <w:lang w:val="es-MX"/>
        </w:rPr>
        <w:t xml:space="preserve">.  Es la inversión destinada a financiar las UBP que entregan beneficios directamente a los niños y niñas  para asegurar el cumplimiento de sus derechos;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color w:val="000000"/>
          <w:sz w:val="24"/>
          <w:szCs w:val="24"/>
          <w:lang w:val="es-MX"/>
        </w:rPr>
      </w:pPr>
      <w:r w:rsidRPr="00B14FC0">
        <w:rPr>
          <w:rFonts w:ascii="Barlow Medium" w:hAnsi="Barlow Medium" w:cs="Arial"/>
          <w:i/>
          <w:color w:val="000000"/>
          <w:sz w:val="24"/>
          <w:szCs w:val="24"/>
          <w:lang w:val="es-MX"/>
        </w:rPr>
        <w:t>Inversión agéntica</w:t>
      </w:r>
      <w:r w:rsidRPr="00B14FC0">
        <w:rPr>
          <w:rFonts w:ascii="Barlow Medium" w:hAnsi="Barlow Medium" w:cs="Arial"/>
          <w:color w:val="000000"/>
          <w:sz w:val="24"/>
          <w:szCs w:val="24"/>
          <w:lang w:val="es-MX"/>
        </w:rPr>
        <w:t xml:space="preserve">. Aquella destinada a financiar las UBP que promuevan el fortalecimiento de los agentes que actúan a favor de la niñez –padres, tutores y profesionales enfocados en forma exclusiva a la atención de los menores de 5 años –, como agentes del bienestar de la infancia;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sz w:val="24"/>
          <w:szCs w:val="24"/>
          <w:lang w:val="es-MX"/>
        </w:rPr>
      </w:pPr>
      <w:r w:rsidRPr="00B14FC0">
        <w:rPr>
          <w:rFonts w:ascii="Barlow Medium" w:hAnsi="Barlow Medium" w:cs="Arial"/>
          <w:i/>
          <w:color w:val="000000"/>
          <w:sz w:val="24"/>
          <w:szCs w:val="24"/>
          <w:lang w:val="es-MX"/>
        </w:rPr>
        <w:t>Inversión en bienes públicos.</w:t>
      </w:r>
      <w:r w:rsidRPr="00B14FC0">
        <w:rPr>
          <w:rFonts w:ascii="Barlow Medium" w:hAnsi="Barlow Medium" w:cs="Arial"/>
          <w:color w:val="000000"/>
          <w:sz w:val="24"/>
          <w:szCs w:val="24"/>
          <w:lang w:val="es-MX"/>
        </w:rPr>
        <w:t xml:space="preserve"> Es aquella inversión destinada a financiar las UBP que proveen servicios prestados de forma abierta a la sociedad y que hayan estado al menos parcialmente diseñados para atender necesidades específicas de los niños y niñas menores de 5 años.</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sz w:val="24"/>
          <w:szCs w:val="24"/>
          <w:lang w:val="es-MX"/>
        </w:rPr>
      </w:pPr>
      <w:r w:rsidRPr="00B14FC0">
        <w:rPr>
          <w:rFonts w:ascii="Barlow Medium" w:hAnsi="Barlow Medium" w:cs="Arial"/>
          <w:i/>
          <w:color w:val="000000"/>
          <w:sz w:val="24"/>
          <w:szCs w:val="24"/>
          <w:lang w:val="es-MX"/>
        </w:rPr>
        <w:lastRenderedPageBreak/>
        <w:t>Inversión ampliada.</w:t>
      </w:r>
      <w:r w:rsidRPr="00B14FC0">
        <w:rPr>
          <w:rFonts w:ascii="Barlow Medium" w:hAnsi="Barlow Medium" w:cs="Arial"/>
          <w:color w:val="000000"/>
          <w:sz w:val="24"/>
          <w:szCs w:val="24"/>
          <w:lang w:val="es-MX"/>
        </w:rPr>
        <w:t xml:space="preserve"> Aquella destinada a financiar las UBP que atienden a grupos de la población vulnerable en la que los niños de este grupo de edad representan una fracción importante, y que tienen elementos que atienden a estos últimos</w:t>
      </w:r>
      <w:r>
        <w:rPr>
          <w:rStyle w:val="Refdenotaalpie"/>
          <w:rFonts w:ascii="Barlow Medium" w:hAnsi="Barlow Medium" w:cs="Arial"/>
          <w:color w:val="000000"/>
          <w:sz w:val="24"/>
          <w:szCs w:val="24"/>
        </w:rPr>
        <w:footnoteReference w:id="3"/>
      </w:r>
      <w:r w:rsidRPr="00B14FC0">
        <w:rPr>
          <w:rFonts w:ascii="Barlow Medium" w:hAnsi="Barlow Medium" w:cs="Arial"/>
          <w:color w:val="000000"/>
          <w:sz w:val="24"/>
          <w:szCs w:val="24"/>
          <w:lang w:val="es-MX"/>
        </w:rPr>
        <w:t>.</w:t>
      </w:r>
    </w:p>
    <w:p w:rsidR="004850C2" w:rsidRDefault="004850C2" w:rsidP="004850C2">
      <w:pPr>
        <w:jc w:val="both"/>
        <w:rPr>
          <w:rFonts w:ascii="Barlow Medium" w:hAnsi="Barlow Medium" w:cs="Arial"/>
        </w:rPr>
      </w:pPr>
      <w:r>
        <w:rPr>
          <w:rFonts w:ascii="Barlow Medium" w:hAnsi="Barlow Medium" w:cs="Arial"/>
          <w:b/>
        </w:rPr>
        <w:t xml:space="preserve">Paso 4. </w:t>
      </w:r>
      <w:r>
        <w:rPr>
          <w:rFonts w:ascii="Barlow Medium" w:hAnsi="Barlow Medium" w:cs="Arial"/>
        </w:rPr>
        <w:t>Se llevó a cabo la alineación correspondiente de las UBP con los Programas Presupuestarios.</w:t>
      </w:r>
    </w:p>
    <w:p w:rsidR="004850C2" w:rsidRDefault="004850C2" w:rsidP="004850C2">
      <w:pPr>
        <w:jc w:val="both"/>
        <w:rPr>
          <w:rFonts w:ascii="Barlow Medium" w:hAnsi="Barlow Medium" w:cs="Arial"/>
        </w:rPr>
      </w:pPr>
      <w:r>
        <w:rPr>
          <w:rFonts w:ascii="Barlow Medium" w:hAnsi="Barlow Medium" w:cs="Arial"/>
          <w:b/>
        </w:rPr>
        <w:t>Paso 5</w:t>
      </w:r>
      <w:r>
        <w:rPr>
          <w:rFonts w:ascii="Barlow Medium" w:hAnsi="Barlow Medium" w:cs="Arial"/>
        </w:rPr>
        <w:t>. Por último, tomando en cuenta la publicación de los Objetivos de Desarrollo Sostenible de las Naciones Unidas, se analizaron los programas y acciones clasificados como inversión en infancia temprana en el Estado que contribuyen al cumplimiento de las metas de dichos objetivos.</w:t>
      </w:r>
    </w:p>
    <w:p w:rsidR="004850C2" w:rsidRDefault="004850C2" w:rsidP="004850C2">
      <w:pPr>
        <w:jc w:val="both"/>
        <w:rPr>
          <w:rFonts w:ascii="Barlow Medium" w:hAnsi="Barlow Medium" w:cs="Arial"/>
          <w:b/>
        </w:rPr>
      </w:pPr>
      <w:r>
        <w:rPr>
          <w:rFonts w:ascii="Barlow Medium" w:hAnsi="Barlow Medium" w:cs="Arial"/>
          <w:b/>
        </w:rPr>
        <w:t>Análisis de Resultados</w:t>
      </w:r>
    </w:p>
    <w:p w:rsidR="004850C2" w:rsidRDefault="004850C2" w:rsidP="004850C2">
      <w:pPr>
        <w:jc w:val="both"/>
        <w:rPr>
          <w:rFonts w:ascii="Barlow Medium" w:hAnsi="Barlow Medium" w:cs="Arial"/>
          <w:b/>
          <w:color w:val="000000"/>
        </w:rPr>
      </w:pPr>
      <w:r>
        <w:rPr>
          <w:rFonts w:ascii="Barlow Medium" w:hAnsi="Barlow Medium" w:cs="Arial"/>
        </w:rPr>
        <w:t>La inversión en Infancia Temprana considerada en el Presupuesto de Egresos 2019 es de 3</w:t>
      </w:r>
      <w:r>
        <w:rPr>
          <w:rFonts w:ascii="Barlow Medium" w:hAnsi="Barlow Medium" w:cs="Arial"/>
          <w:color w:val="000000"/>
        </w:rPr>
        <w:t xml:space="preserve"> mil 299 millones 245 mil 363 pesos</w:t>
      </w:r>
      <w:r>
        <w:rPr>
          <w:rFonts w:ascii="Barlow Medium" w:hAnsi="Barlow Medium" w:cs="Arial"/>
        </w:rPr>
        <w:t>, lo que representa el 25.2%, de lo que se invierte en la población de 0 a 17 años (Tabla 2).</w:t>
      </w:r>
      <w:r>
        <w:rPr>
          <w:rFonts w:ascii="Barlow Medium" w:hAnsi="Barlow Medium" w:cs="Arial"/>
          <w:b/>
          <w:color w:val="000000"/>
        </w:rPr>
        <w:tab/>
      </w:r>
    </w:p>
    <w:p w:rsidR="004850C2" w:rsidRDefault="004850C2" w:rsidP="004850C2">
      <w:pPr>
        <w:jc w:val="center"/>
        <w:rPr>
          <w:rFonts w:ascii="Barlow Medium" w:hAnsi="Barlow Medium" w:cs="Arial"/>
          <w:b/>
          <w:color w:val="000000"/>
          <w:sz w:val="20"/>
          <w:szCs w:val="20"/>
        </w:rPr>
      </w:pPr>
      <w:r>
        <w:rPr>
          <w:rFonts w:ascii="Barlow Medium" w:hAnsi="Barlow Medium" w:cs="Arial"/>
          <w:b/>
          <w:color w:val="000000"/>
          <w:sz w:val="20"/>
          <w:szCs w:val="20"/>
        </w:rPr>
        <w:t>Tabla 2. Inversión en infancia e infancia temprana</w:t>
      </w:r>
    </w:p>
    <w:tbl>
      <w:tblPr>
        <w:tblW w:w="7051" w:type="dxa"/>
        <w:jc w:val="center"/>
        <w:tblBorders>
          <w:top w:val="single" w:sz="4" w:space="0" w:color="auto"/>
          <w:left w:val="single" w:sz="4" w:space="0" w:color="auto"/>
          <w:bottom w:val="single" w:sz="4" w:space="0" w:color="auto"/>
          <w:right w:val="single" w:sz="4" w:space="0" w:color="auto"/>
          <w:insideH w:val="single" w:sz="8" w:space="0" w:color="1F497D"/>
        </w:tblBorders>
        <w:tblCellMar>
          <w:left w:w="70" w:type="dxa"/>
          <w:right w:w="70" w:type="dxa"/>
        </w:tblCellMar>
        <w:tblLook w:val="04A0"/>
      </w:tblPr>
      <w:tblGrid>
        <w:gridCol w:w="5071"/>
        <w:gridCol w:w="1980"/>
      </w:tblGrid>
      <w:tr w:rsidR="004850C2" w:rsidTr="004850C2">
        <w:trPr>
          <w:trHeight w:val="330"/>
          <w:jc w:val="center"/>
        </w:trPr>
        <w:tc>
          <w:tcPr>
            <w:tcW w:w="5071" w:type="dxa"/>
            <w:tcBorders>
              <w:top w:val="single" w:sz="4" w:space="0" w:color="auto"/>
              <w:left w:val="single" w:sz="4" w:space="0" w:color="auto"/>
              <w:bottom w:val="single" w:sz="8" w:space="0" w:color="1F497D"/>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Categorías</w:t>
            </w:r>
          </w:p>
        </w:tc>
        <w:tc>
          <w:tcPr>
            <w:tcW w:w="1980" w:type="dxa"/>
            <w:tcBorders>
              <w:top w:val="single" w:sz="4" w:space="0" w:color="auto"/>
              <w:left w:val="nil"/>
              <w:bottom w:val="single" w:sz="8" w:space="0" w:color="1F497D"/>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 xml:space="preserve"> Monto (pesos) </w:t>
            </w:r>
          </w:p>
        </w:tc>
      </w:tr>
      <w:tr w:rsidR="004850C2" w:rsidTr="004850C2">
        <w:trPr>
          <w:trHeight w:val="113"/>
          <w:jc w:val="center"/>
        </w:trPr>
        <w:tc>
          <w:tcPr>
            <w:tcW w:w="5071" w:type="dxa"/>
            <w:tcBorders>
              <w:top w:val="single" w:sz="8" w:space="0" w:color="1F497D"/>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b/>
                <w:bCs/>
                <w:color w:val="000000"/>
                <w:sz w:val="20"/>
                <w:szCs w:val="20"/>
              </w:rPr>
            </w:pPr>
            <w:r>
              <w:rPr>
                <w:rFonts w:ascii="Barlow Medium" w:eastAsia="Times New Roman" w:hAnsi="Barlow Medium" w:cs="Calibri"/>
                <w:b/>
                <w:bCs/>
                <w:color w:val="000000"/>
                <w:sz w:val="20"/>
                <w:szCs w:val="20"/>
              </w:rPr>
              <w:t>Presupuesto no destinado a inversión en infancia</w:t>
            </w:r>
          </w:p>
        </w:tc>
        <w:tc>
          <w:tcPr>
            <w:tcW w:w="1980" w:type="dxa"/>
            <w:tcBorders>
              <w:top w:val="single" w:sz="8" w:space="0" w:color="1F497D"/>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hAnsi="Barlow Medium" w:cs="Calibri"/>
                <w:color w:val="000000"/>
                <w:sz w:val="22"/>
                <w:szCs w:val="22"/>
              </w:rPr>
            </w:pPr>
            <w:r>
              <w:rPr>
                <w:rFonts w:ascii="Barlow Medium" w:hAnsi="Barlow Medium" w:cs="Calibri"/>
                <w:color w:val="000000"/>
              </w:rPr>
              <w:t>27,473,481,493</w:t>
            </w:r>
          </w:p>
        </w:tc>
      </w:tr>
      <w:tr w:rsidR="004850C2" w:rsidTr="004850C2">
        <w:trPr>
          <w:trHeight w:val="113"/>
          <w:jc w:val="center"/>
        </w:trPr>
        <w:tc>
          <w:tcPr>
            <w:tcW w:w="5071" w:type="dxa"/>
            <w:tcBorders>
              <w:top w:val="dotted" w:sz="4" w:space="0" w:color="auto"/>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b/>
                <w:bCs/>
                <w:color w:val="000000"/>
                <w:sz w:val="20"/>
                <w:szCs w:val="20"/>
              </w:rPr>
            </w:pPr>
            <w:r>
              <w:rPr>
                <w:rFonts w:ascii="Barlow Medium" w:eastAsia="Times New Roman" w:hAnsi="Barlow Medium" w:cs="Calibri"/>
                <w:b/>
                <w:bCs/>
                <w:color w:val="000000"/>
                <w:sz w:val="20"/>
                <w:szCs w:val="20"/>
              </w:rPr>
              <w:t>Inversión en infancia</w:t>
            </w:r>
          </w:p>
        </w:tc>
        <w:tc>
          <w:tcPr>
            <w:tcW w:w="1980" w:type="dxa"/>
            <w:tcBorders>
              <w:top w:val="dotted" w:sz="4" w:space="0" w:color="auto"/>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hAnsi="Barlow Medium" w:cs="Calibri"/>
                <w:color w:val="000000"/>
                <w:sz w:val="22"/>
                <w:szCs w:val="22"/>
              </w:rPr>
            </w:pPr>
            <w:r>
              <w:rPr>
                <w:rFonts w:ascii="Barlow Medium" w:hAnsi="Barlow Medium" w:cs="Calibri"/>
                <w:color w:val="000000"/>
              </w:rPr>
              <w:t>13,116,527,171</w:t>
            </w:r>
          </w:p>
        </w:tc>
      </w:tr>
      <w:tr w:rsidR="004850C2" w:rsidTr="004850C2">
        <w:trPr>
          <w:trHeight w:val="113"/>
          <w:jc w:val="center"/>
        </w:trPr>
        <w:tc>
          <w:tcPr>
            <w:tcW w:w="5071"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Población de 6 a 17 años</w:t>
            </w:r>
          </w:p>
        </w:tc>
        <w:tc>
          <w:tcPr>
            <w:tcW w:w="1980" w:type="dxa"/>
            <w:tcBorders>
              <w:top w:val="dotted" w:sz="4" w:space="0" w:color="auto"/>
              <w:left w:val="nil"/>
              <w:bottom w:val="dotted" w:sz="4" w:space="0" w:color="auto"/>
              <w:right w:val="single" w:sz="4" w:space="0" w:color="auto"/>
            </w:tcBorders>
            <w:noWrap/>
            <w:vAlign w:val="center"/>
            <w:hideMark/>
          </w:tcPr>
          <w:p w:rsidR="004850C2" w:rsidRDefault="004850C2">
            <w:pPr>
              <w:jc w:val="right"/>
              <w:rPr>
                <w:rFonts w:ascii="Barlow Medium" w:hAnsi="Barlow Medium" w:cs="Calibri"/>
                <w:color w:val="000000"/>
                <w:sz w:val="22"/>
                <w:szCs w:val="22"/>
              </w:rPr>
            </w:pPr>
            <w:r>
              <w:rPr>
                <w:rFonts w:ascii="Barlow Medium" w:hAnsi="Barlow Medium" w:cs="Calibri"/>
                <w:color w:val="000000"/>
              </w:rPr>
              <w:t>9,817,281,808</w:t>
            </w:r>
          </w:p>
        </w:tc>
      </w:tr>
      <w:tr w:rsidR="004850C2" w:rsidTr="004850C2">
        <w:trPr>
          <w:trHeight w:val="113"/>
          <w:jc w:val="center"/>
        </w:trPr>
        <w:tc>
          <w:tcPr>
            <w:tcW w:w="5071" w:type="dxa"/>
            <w:tcBorders>
              <w:top w:val="dotted" w:sz="4" w:space="0" w:color="auto"/>
              <w:left w:val="single" w:sz="4" w:space="0" w:color="auto"/>
              <w:bottom w:val="single" w:sz="8" w:space="0" w:color="1F497D"/>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Infancia Temprana (0 a 5 años)</w:t>
            </w:r>
          </w:p>
        </w:tc>
        <w:tc>
          <w:tcPr>
            <w:tcW w:w="1980" w:type="dxa"/>
            <w:tcBorders>
              <w:top w:val="dotted" w:sz="4" w:space="0" w:color="auto"/>
              <w:left w:val="nil"/>
              <w:bottom w:val="single" w:sz="8" w:space="0" w:color="1F497D"/>
              <w:right w:val="single" w:sz="4" w:space="0" w:color="auto"/>
            </w:tcBorders>
            <w:noWrap/>
            <w:vAlign w:val="center"/>
            <w:hideMark/>
          </w:tcPr>
          <w:p w:rsidR="004850C2" w:rsidRDefault="004850C2">
            <w:pPr>
              <w:jc w:val="right"/>
              <w:rPr>
                <w:rFonts w:ascii="Barlow Medium" w:hAnsi="Barlow Medium" w:cs="Calibri"/>
                <w:color w:val="000000"/>
                <w:sz w:val="22"/>
                <w:szCs w:val="22"/>
              </w:rPr>
            </w:pPr>
            <w:r>
              <w:rPr>
                <w:rFonts w:ascii="Barlow Medium" w:hAnsi="Barlow Medium" w:cs="Calibri"/>
                <w:color w:val="000000"/>
              </w:rPr>
              <w:t>3,299,245,363</w:t>
            </w:r>
          </w:p>
        </w:tc>
      </w:tr>
      <w:tr w:rsidR="004850C2" w:rsidTr="004850C2">
        <w:trPr>
          <w:trHeight w:val="320"/>
          <w:jc w:val="center"/>
        </w:trPr>
        <w:tc>
          <w:tcPr>
            <w:tcW w:w="5071" w:type="dxa"/>
            <w:tcBorders>
              <w:top w:val="single" w:sz="8" w:space="0" w:color="1F497D"/>
              <w:left w:val="single" w:sz="4" w:space="0" w:color="auto"/>
              <w:bottom w:val="single"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Total general</w:t>
            </w:r>
          </w:p>
        </w:tc>
        <w:tc>
          <w:tcPr>
            <w:tcW w:w="1980" w:type="dxa"/>
            <w:tcBorders>
              <w:top w:val="single" w:sz="8" w:space="0" w:color="1F497D"/>
              <w:left w:val="nil"/>
              <w:bottom w:val="single" w:sz="4" w:space="0" w:color="auto"/>
              <w:right w:val="single" w:sz="4" w:space="0" w:color="auto"/>
            </w:tcBorders>
            <w:shd w:val="clear" w:color="auto" w:fill="16365C"/>
            <w:noWrap/>
            <w:vAlign w:val="center"/>
            <w:hideMark/>
          </w:tcPr>
          <w:p w:rsidR="004850C2" w:rsidRDefault="004850C2">
            <w:pPr>
              <w:jc w:val="right"/>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40,590,008,664</w:t>
            </w:r>
          </w:p>
        </w:tc>
      </w:tr>
    </w:tbl>
    <w:p w:rsidR="004850C2" w:rsidRDefault="004850C2" w:rsidP="004850C2">
      <w:pPr>
        <w:pStyle w:val="Prrafodelista"/>
        <w:ind w:left="0"/>
        <w:jc w:val="center"/>
        <w:rPr>
          <w:rFonts w:ascii="Barlow Medium" w:eastAsiaTheme="minorEastAsia" w:hAnsi="Barlow Medium" w:cs="Arial"/>
          <w:sz w:val="20"/>
          <w:szCs w:val="20"/>
          <w:lang w:eastAsia="es-MX"/>
        </w:rPr>
      </w:pPr>
      <w:r>
        <w:rPr>
          <w:rFonts w:ascii="Barlow Medium" w:hAnsi="Barlow Medium" w:cs="Arial"/>
          <w:sz w:val="20"/>
          <w:szCs w:val="20"/>
        </w:rPr>
        <w:t>Fuente: Elaboración propia.</w:t>
      </w:r>
    </w:p>
    <w:p w:rsidR="004850C2" w:rsidRDefault="004850C2" w:rsidP="004850C2">
      <w:pPr>
        <w:pStyle w:val="Prrafodelista"/>
        <w:ind w:left="0"/>
        <w:jc w:val="center"/>
        <w:rPr>
          <w:rFonts w:ascii="Barlow Medium" w:hAnsi="Barlow Medium" w:cs="Arial"/>
          <w:sz w:val="20"/>
          <w:szCs w:val="20"/>
        </w:rPr>
      </w:pPr>
    </w:p>
    <w:p w:rsidR="004850C2" w:rsidRDefault="004850C2" w:rsidP="004850C2">
      <w:pPr>
        <w:jc w:val="both"/>
        <w:rPr>
          <w:rFonts w:ascii="Barlow Medium" w:hAnsi="Barlow Medium" w:cs="Arial"/>
          <w:highlight w:val="yellow"/>
        </w:rPr>
      </w:pPr>
      <w:r>
        <w:rPr>
          <w:rFonts w:ascii="Barlow Medium" w:hAnsi="Barlow Medium" w:cs="Arial"/>
        </w:rPr>
        <w:t>Por otra parte la inversión en infancia temprana representa el 8.1% del total del presupuesto estatal y el 10.08% del gasto programable.</w:t>
      </w:r>
    </w:p>
    <w:p w:rsidR="004850C2" w:rsidRDefault="004850C2" w:rsidP="004850C2">
      <w:pPr>
        <w:jc w:val="both"/>
        <w:rPr>
          <w:rFonts w:ascii="Barlow Medium" w:hAnsi="Barlow Medium" w:cs="Arial"/>
        </w:rPr>
      </w:pPr>
      <w:r>
        <w:rPr>
          <w:rFonts w:ascii="Barlow Medium" w:hAnsi="Barlow Medium" w:cs="Arial"/>
        </w:rPr>
        <w:t>En cuanto al enfoque por derechos, la inversión en infancia temprana centra su atención en dos derechos: el derecho al desarrollo (68.37%) y el derecho la supervivencia (29.69%) (Gráfico 2).</w:t>
      </w:r>
    </w:p>
    <w:p w:rsidR="004850C2" w:rsidRDefault="004850C2" w:rsidP="004850C2">
      <w:pPr>
        <w:jc w:val="center"/>
        <w:rPr>
          <w:rFonts w:ascii="Barlow Medium" w:hAnsi="Barlow Medium" w:cs="Arial"/>
          <w:b/>
          <w:sz w:val="20"/>
          <w:szCs w:val="20"/>
        </w:rPr>
      </w:pPr>
      <w:r>
        <w:rPr>
          <w:rFonts w:ascii="Barlow Medium" w:hAnsi="Barlow Medium" w:cs="Arial"/>
          <w:b/>
          <w:sz w:val="20"/>
          <w:szCs w:val="20"/>
        </w:rPr>
        <w:t>Gráfica 2. Inversión en infancia temprana por derecho</w:t>
      </w:r>
    </w:p>
    <w:p w:rsidR="004850C2" w:rsidRDefault="004850C2" w:rsidP="004850C2">
      <w:pPr>
        <w:jc w:val="center"/>
        <w:rPr>
          <w:rFonts w:ascii="Barlow Medium" w:hAnsi="Barlow Medium" w:cs="Arial"/>
          <w:b/>
          <w:sz w:val="20"/>
          <w:szCs w:val="20"/>
        </w:rPr>
      </w:pPr>
      <w:r>
        <w:rPr>
          <w:noProof/>
          <w:lang w:val="es-MX" w:eastAsia="es-MX"/>
        </w:rPr>
        <w:lastRenderedPageBreak/>
        <w:drawing>
          <wp:inline distT="0" distB="0" distL="0" distR="0">
            <wp:extent cx="3971925" cy="2428875"/>
            <wp:effectExtent l="0" t="0" r="15875" b="952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850C2" w:rsidRPr="00B14FC0" w:rsidRDefault="004850C2" w:rsidP="004850C2">
      <w:pPr>
        <w:pStyle w:val="Prrafodelista"/>
        <w:ind w:left="0"/>
        <w:jc w:val="center"/>
        <w:rPr>
          <w:rFonts w:ascii="Barlow Medium" w:hAnsi="Barlow Medium" w:cs="Arial"/>
          <w:sz w:val="20"/>
          <w:szCs w:val="20"/>
          <w:lang w:val="es-MX"/>
        </w:rPr>
      </w:pPr>
      <w:r w:rsidRPr="00B14FC0">
        <w:rPr>
          <w:rFonts w:ascii="Barlow Medium" w:hAnsi="Barlow Medium" w:cs="Arial"/>
          <w:sz w:val="20"/>
          <w:szCs w:val="20"/>
          <w:lang w:val="es-MX"/>
        </w:rPr>
        <w:t>Fuente: Elaboración propia.</w:t>
      </w:r>
    </w:p>
    <w:p w:rsidR="004850C2" w:rsidRDefault="004850C2" w:rsidP="004850C2">
      <w:pPr>
        <w:jc w:val="both"/>
        <w:rPr>
          <w:rFonts w:ascii="Barlow Medium" w:hAnsi="Barlow Medium" w:cs="Arial"/>
          <w:b/>
          <w:color w:val="000000"/>
          <w:sz w:val="20"/>
          <w:szCs w:val="20"/>
        </w:rPr>
      </w:pPr>
      <w:r>
        <w:rPr>
          <w:rFonts w:ascii="Barlow Medium" w:hAnsi="Barlow Medium" w:cs="Arial"/>
        </w:rPr>
        <w:t xml:space="preserve">En cuanto a la especificidad de la inversión en infancia temprana el 80.25% se destina a </w:t>
      </w:r>
      <w:r>
        <w:rPr>
          <w:rFonts w:ascii="Barlow Medium" w:hAnsi="Barlow Medium" w:cs="Arial"/>
          <w:color w:val="000000"/>
        </w:rPr>
        <w:t>los agentes que actúan a favor de la niñez; el 15.86% a la inversión destinada a inversión ampliada; el 2.14% en bienes públicos y el 1.75% que atiende de manera directa a la población de 0 a 5 años.</w:t>
      </w:r>
      <w:r>
        <w:rPr>
          <w:rFonts w:ascii="Barlow Medium" w:hAnsi="Barlow Medium" w:cs="Arial"/>
          <w:b/>
          <w:color w:val="000000"/>
          <w:sz w:val="20"/>
          <w:szCs w:val="20"/>
        </w:rPr>
        <w:t xml:space="preserve"> </w:t>
      </w:r>
    </w:p>
    <w:p w:rsidR="004850C2" w:rsidRDefault="004850C2" w:rsidP="004850C2">
      <w:pPr>
        <w:jc w:val="center"/>
        <w:rPr>
          <w:rFonts w:ascii="Barlow Medium" w:hAnsi="Barlow Medium" w:cs="Arial"/>
          <w:b/>
          <w:color w:val="000000"/>
          <w:sz w:val="20"/>
          <w:szCs w:val="20"/>
        </w:rPr>
      </w:pPr>
      <w:r>
        <w:rPr>
          <w:rFonts w:ascii="Barlow Medium" w:hAnsi="Barlow Medium" w:cs="Arial"/>
          <w:b/>
          <w:color w:val="000000"/>
          <w:sz w:val="20"/>
          <w:szCs w:val="20"/>
        </w:rPr>
        <w:t>Gráfico 3. Especificidad de la inversión en infancia temprana</w:t>
      </w:r>
    </w:p>
    <w:p w:rsidR="004850C2" w:rsidRDefault="004850C2" w:rsidP="004850C2">
      <w:pPr>
        <w:jc w:val="center"/>
        <w:rPr>
          <w:rFonts w:ascii="Barlow Medium" w:hAnsi="Barlow Medium" w:cs="Arial"/>
          <w:b/>
          <w:color w:val="000000"/>
          <w:sz w:val="20"/>
          <w:szCs w:val="20"/>
        </w:rPr>
      </w:pPr>
      <w:r>
        <w:rPr>
          <w:noProof/>
          <w:lang w:val="es-MX" w:eastAsia="es-MX"/>
        </w:rPr>
        <w:drawing>
          <wp:inline distT="0" distB="0" distL="0" distR="0">
            <wp:extent cx="3971925" cy="2428875"/>
            <wp:effectExtent l="0" t="0" r="15875"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850C2" w:rsidRPr="00B14FC0" w:rsidRDefault="004850C2" w:rsidP="004850C2">
      <w:pPr>
        <w:pStyle w:val="Prrafodelista"/>
        <w:spacing w:after="0" w:line="240" w:lineRule="auto"/>
        <w:ind w:left="0"/>
        <w:jc w:val="center"/>
        <w:rPr>
          <w:rFonts w:ascii="Barlow Medium" w:hAnsi="Barlow Medium" w:cs="Arial"/>
          <w:sz w:val="20"/>
          <w:szCs w:val="20"/>
          <w:lang w:val="es-MX"/>
        </w:rPr>
      </w:pPr>
      <w:r w:rsidRPr="00B14FC0">
        <w:rPr>
          <w:rFonts w:ascii="Barlow Medium" w:hAnsi="Barlow Medium" w:cs="Arial"/>
          <w:sz w:val="20"/>
          <w:szCs w:val="20"/>
          <w:lang w:val="es-MX"/>
        </w:rPr>
        <w:t>Fuente: Elaboración propia.</w:t>
      </w:r>
    </w:p>
    <w:p w:rsidR="004850C2" w:rsidRDefault="004850C2" w:rsidP="004850C2">
      <w:pPr>
        <w:pStyle w:val="Ttulo1"/>
        <w:spacing w:before="0" w:after="200"/>
        <w:rPr>
          <w:rFonts w:ascii="Barlow Medium" w:hAnsi="Barlow Medium" w:cs="Arial"/>
          <w:color w:val="auto"/>
          <w:sz w:val="24"/>
          <w:szCs w:val="24"/>
        </w:rPr>
      </w:pPr>
    </w:p>
    <w:p w:rsidR="004850C2" w:rsidRDefault="004850C2" w:rsidP="004850C2">
      <w:pPr>
        <w:pStyle w:val="Ttulo1"/>
        <w:spacing w:before="0" w:after="200"/>
        <w:rPr>
          <w:rFonts w:ascii="Barlow Medium" w:hAnsi="Barlow Medium" w:cs="Arial"/>
          <w:color w:val="auto"/>
          <w:sz w:val="24"/>
          <w:szCs w:val="24"/>
        </w:rPr>
      </w:pPr>
      <w:r>
        <w:rPr>
          <w:rFonts w:ascii="Barlow Medium" w:hAnsi="Barlow Medium" w:cs="Arial"/>
          <w:color w:val="auto"/>
          <w:sz w:val="24"/>
          <w:szCs w:val="24"/>
        </w:rPr>
        <w:t>Infancia Temprana y Programas Presupuestarios</w:t>
      </w:r>
    </w:p>
    <w:p w:rsidR="004850C2" w:rsidRDefault="004850C2" w:rsidP="004850C2">
      <w:pPr>
        <w:jc w:val="both"/>
        <w:rPr>
          <w:rFonts w:ascii="Barlow Medium" w:hAnsi="Barlow Medium" w:cs="Arial"/>
        </w:rPr>
      </w:pPr>
      <w:r>
        <w:rPr>
          <w:rFonts w:ascii="Barlow Medium" w:hAnsi="Barlow Medium" w:cs="Arial"/>
        </w:rPr>
        <w:t xml:space="preserve">El Programa Presupuestario </w:t>
      </w:r>
      <w:r>
        <w:rPr>
          <w:rFonts w:ascii="Barlow Medium" w:hAnsi="Barlow Medium" w:cs="Arial"/>
          <w:b/>
          <w:i/>
        </w:rPr>
        <w:t xml:space="preserve">Cobertura con Equidad en Educación Básica </w:t>
      </w:r>
      <w:r>
        <w:rPr>
          <w:rFonts w:ascii="Barlow Medium" w:hAnsi="Barlow Medium" w:cs="Arial"/>
        </w:rPr>
        <w:t xml:space="preserve">que incluye lo relativo a los servicios de educación inicial, concentra el 62.3% de la inversión total destinada a Infancia Temprana. En segundo lugar con un 7.8% de la inversión en infancia temprana está el Programa Presupuestario </w:t>
      </w:r>
      <w:r>
        <w:rPr>
          <w:rFonts w:ascii="Barlow Medium" w:hAnsi="Barlow Medium" w:cs="Arial"/>
          <w:b/>
        </w:rPr>
        <w:t xml:space="preserve">Carencia por Acceso a la Alimentación </w:t>
      </w:r>
      <w:r>
        <w:rPr>
          <w:rFonts w:ascii="Barlow Medium" w:hAnsi="Barlow Medium" w:cs="Arial"/>
        </w:rPr>
        <w:t xml:space="preserve">el cual es coordinado por la </w:t>
      </w:r>
      <w:r>
        <w:rPr>
          <w:rFonts w:ascii="Barlow Medium" w:hAnsi="Barlow Medium" w:cs="Arial"/>
        </w:rPr>
        <w:lastRenderedPageBreak/>
        <w:t>Secretaria de Desarrollo Social, y en tercer lugar con un 5.45% de la inversión el Programa</w:t>
      </w:r>
      <w:r>
        <w:rPr>
          <w:rFonts w:ascii="Barlow Medium" w:hAnsi="Barlow Medium" w:cs="Arial"/>
          <w:b/>
        </w:rPr>
        <w:t xml:space="preserve"> </w:t>
      </w:r>
      <w:r>
        <w:rPr>
          <w:rFonts w:ascii="Barlow Medium" w:hAnsi="Barlow Medium" w:cs="Arial"/>
        </w:rPr>
        <w:t xml:space="preserve">de </w:t>
      </w:r>
      <w:r>
        <w:rPr>
          <w:rFonts w:ascii="Barlow Medium" w:hAnsi="Barlow Medium" w:cs="Arial"/>
          <w:b/>
        </w:rPr>
        <w:t>Atención Médica</w:t>
      </w:r>
      <w:r>
        <w:rPr>
          <w:rFonts w:ascii="Barlow Medium" w:hAnsi="Barlow Medium" w:cs="Arial"/>
        </w:rPr>
        <w:t xml:space="preserve"> (Tabla 3).</w:t>
      </w:r>
    </w:p>
    <w:p w:rsidR="004850C2" w:rsidRDefault="004850C2" w:rsidP="004850C2">
      <w:pPr>
        <w:autoSpaceDE w:val="0"/>
        <w:autoSpaceDN w:val="0"/>
        <w:adjustRightInd w:val="0"/>
        <w:spacing w:line="360" w:lineRule="auto"/>
        <w:jc w:val="center"/>
        <w:rPr>
          <w:rFonts w:ascii="Barlow Medium" w:hAnsi="Barlow Medium" w:cs="Arial"/>
          <w:b/>
          <w:sz w:val="20"/>
          <w:szCs w:val="20"/>
        </w:rPr>
      </w:pPr>
      <w:r>
        <w:rPr>
          <w:rFonts w:ascii="Barlow Medium" w:hAnsi="Barlow Medium" w:cs="Arial"/>
          <w:b/>
          <w:sz w:val="20"/>
          <w:szCs w:val="20"/>
        </w:rPr>
        <w:t>Tabla 3. Programas Presupuestarios e inversión infancia temprana</w:t>
      </w:r>
    </w:p>
    <w:tbl>
      <w:tblPr>
        <w:tblW w:w="0" w:type="auto"/>
        <w:tblInd w:w="55" w:type="dxa"/>
        <w:tblLayout w:type="fixed"/>
        <w:tblCellMar>
          <w:left w:w="70" w:type="dxa"/>
          <w:right w:w="70" w:type="dxa"/>
        </w:tblCellMar>
        <w:tblLook w:val="04A0"/>
      </w:tblPr>
      <w:tblGrid>
        <w:gridCol w:w="582"/>
        <w:gridCol w:w="7208"/>
        <w:gridCol w:w="1655"/>
      </w:tblGrid>
      <w:tr w:rsidR="004850C2" w:rsidTr="004850C2">
        <w:trPr>
          <w:trHeight w:val="496"/>
          <w:tblHeader/>
        </w:trPr>
        <w:tc>
          <w:tcPr>
            <w:tcW w:w="7790" w:type="dxa"/>
            <w:gridSpan w:val="2"/>
            <w:tcBorders>
              <w:top w:val="single" w:sz="4" w:space="0" w:color="auto"/>
              <w:left w:val="single" w:sz="4" w:space="0" w:color="auto"/>
              <w:bottom w:val="nil"/>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Programas Presupuestarios</w:t>
            </w:r>
          </w:p>
        </w:tc>
        <w:tc>
          <w:tcPr>
            <w:tcW w:w="1655" w:type="dxa"/>
            <w:tcBorders>
              <w:top w:val="single" w:sz="4" w:space="0" w:color="auto"/>
              <w:left w:val="nil"/>
              <w:bottom w:val="single" w:sz="8" w:space="0" w:color="DCE6F1"/>
              <w:right w:val="single" w:sz="4" w:space="0" w:color="auto"/>
            </w:tcBorders>
            <w:shd w:val="clear" w:color="auto" w:fill="16365C"/>
            <w:noWrap/>
            <w:vAlign w:val="center"/>
            <w:hideMark/>
          </w:tcPr>
          <w:p w:rsidR="004850C2" w:rsidRDefault="004850C2">
            <w:pPr>
              <w:jc w:val="right"/>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 xml:space="preserve"> Monto (pesos)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25</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Prevención Social del Delito</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4,263,938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43</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Construcción, Ampliación y Mejoramiento de Vivienda</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89,326,188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44</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Carencia por Acceso a Servicios Básicos en la Vivienda</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52,131,388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45</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Servicios de Salud a la Comunidad</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2,260,776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52</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Salud Reproductiva</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151,006,912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53</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Salud Infantil</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75,665,397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68</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Cobertura con Equidad en Educación Básica</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2,055,346,848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80</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Carencia por Acceso a la Alimentación</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257,431,499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84</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Prevención y Atención a Mujeres en situación de violencia</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59,671,694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85</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Cohesión Social</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5,895,195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87</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Sujetos en Condición de Vulnerabilidad</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19,294,283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88</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a Personas con Discapacidad</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51,702,644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89</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Integral al Menor en Desamparo</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39,740,630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90</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en Salud a Personas Sujetas a Asistencia Social</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878,250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91</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al Desarrollo Infantil</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35,943,500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186</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Conservación de los Recursos Naturales</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11,550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201</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Administración y Control de los Recursos Humanos, Financieros y Materiales del Hospital de la Amistad</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7,019,999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208</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Eventos Recreativos</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4,450,595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215</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Escolar</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106,432,129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234</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Pedagógica</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19,950,462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249</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Servicios y Prestaciones</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62,070,198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lastRenderedPageBreak/>
              <w:t>254</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Mejoramiento de la Administración del Dif Yucatán</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17,922,582 </w:t>
            </w:r>
          </w:p>
        </w:tc>
      </w:tr>
      <w:tr w:rsidR="004850C2" w:rsidTr="004850C2">
        <w:trPr>
          <w:trHeight w:val="496"/>
        </w:trPr>
        <w:tc>
          <w:tcPr>
            <w:tcW w:w="582" w:type="dxa"/>
            <w:tcBorders>
              <w:top w:val="single" w:sz="4" w:space="0" w:color="366092"/>
              <w:left w:val="single" w:sz="4" w:space="0" w:color="auto"/>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289</w:t>
            </w:r>
          </w:p>
        </w:tc>
        <w:tc>
          <w:tcPr>
            <w:tcW w:w="7208"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Integral a las Mujeres Víctimas de Violencia</w:t>
            </w:r>
          </w:p>
        </w:tc>
        <w:tc>
          <w:tcPr>
            <w:tcW w:w="1655" w:type="dxa"/>
            <w:tcBorders>
              <w:top w:val="single" w:sz="4" w:space="0" w:color="366092"/>
              <w:left w:val="nil"/>
              <w:bottom w:val="single" w:sz="4" w:space="0" w:color="366092"/>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893,766 </w:t>
            </w:r>
          </w:p>
        </w:tc>
      </w:tr>
      <w:tr w:rsidR="004850C2" w:rsidTr="004850C2">
        <w:trPr>
          <w:trHeight w:val="496"/>
        </w:trPr>
        <w:tc>
          <w:tcPr>
            <w:tcW w:w="582" w:type="dxa"/>
            <w:tcBorders>
              <w:top w:val="single" w:sz="4" w:space="0" w:color="DCE6F1"/>
              <w:left w:val="single" w:sz="4" w:space="0" w:color="auto"/>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315</w:t>
            </w:r>
          </w:p>
        </w:tc>
        <w:tc>
          <w:tcPr>
            <w:tcW w:w="7208"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Médica</w:t>
            </w:r>
          </w:p>
        </w:tc>
        <w:tc>
          <w:tcPr>
            <w:tcW w:w="1655" w:type="dxa"/>
            <w:tcBorders>
              <w:top w:val="single" w:sz="4" w:space="0" w:color="DCE6F1"/>
              <w:left w:val="nil"/>
              <w:bottom w:val="single" w:sz="4" w:space="0" w:color="DCE6F1"/>
              <w:right w:val="single" w:sz="4" w:space="0" w:color="auto"/>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179,934,940 </w:t>
            </w:r>
          </w:p>
        </w:tc>
      </w:tr>
      <w:tr w:rsidR="004850C2" w:rsidTr="004850C2">
        <w:trPr>
          <w:trHeight w:val="496"/>
        </w:trPr>
        <w:tc>
          <w:tcPr>
            <w:tcW w:w="7790" w:type="dxa"/>
            <w:gridSpan w:val="2"/>
            <w:tcBorders>
              <w:top w:val="double" w:sz="6" w:space="0" w:color="366092"/>
              <w:left w:val="single" w:sz="4" w:space="0" w:color="auto"/>
              <w:bottom w:val="single" w:sz="4" w:space="0" w:color="auto"/>
              <w:right w:val="nil"/>
            </w:tcBorders>
            <w:shd w:val="clear" w:color="auto" w:fill="16365C"/>
            <w:noWrap/>
            <w:vAlign w:val="center"/>
            <w:hideMark/>
          </w:tcPr>
          <w:p w:rsidR="004850C2" w:rsidRDefault="004850C2">
            <w:pPr>
              <w:rPr>
                <w:rFonts w:ascii="Barlow Medium" w:eastAsia="Times New Roman" w:hAnsi="Barlow Medium" w:cs="Calibri"/>
                <w:b/>
                <w:bCs/>
                <w:color w:val="FFFFFF" w:themeColor="background1"/>
                <w:sz w:val="20"/>
                <w:szCs w:val="20"/>
              </w:rPr>
            </w:pPr>
            <w:r>
              <w:rPr>
                <w:rFonts w:ascii="Barlow Medium" w:eastAsia="Times New Roman" w:hAnsi="Barlow Medium" w:cs="Calibri"/>
                <w:b/>
                <w:bCs/>
                <w:color w:val="FFFFFF" w:themeColor="background1"/>
                <w:sz w:val="20"/>
                <w:szCs w:val="20"/>
              </w:rPr>
              <w:t>Total general</w:t>
            </w:r>
          </w:p>
        </w:tc>
        <w:tc>
          <w:tcPr>
            <w:tcW w:w="1655" w:type="dxa"/>
            <w:tcBorders>
              <w:top w:val="double" w:sz="6" w:space="0" w:color="366092"/>
              <w:left w:val="nil"/>
              <w:bottom w:val="single" w:sz="4" w:space="0" w:color="auto"/>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themeColor="background1"/>
                <w:sz w:val="20"/>
                <w:szCs w:val="20"/>
              </w:rPr>
            </w:pPr>
            <w:r>
              <w:rPr>
                <w:rFonts w:ascii="Barlow Medium" w:eastAsia="Times New Roman" w:hAnsi="Barlow Medium" w:cs="Calibri"/>
                <w:b/>
                <w:bCs/>
                <w:color w:val="FFFFFF" w:themeColor="background1"/>
                <w:sz w:val="20"/>
                <w:szCs w:val="20"/>
              </w:rPr>
              <w:t xml:space="preserve">3,299,245,363 </w:t>
            </w:r>
          </w:p>
        </w:tc>
      </w:tr>
    </w:tbl>
    <w:p w:rsidR="004850C2" w:rsidRDefault="004850C2" w:rsidP="004850C2">
      <w:pPr>
        <w:pStyle w:val="Prrafodelista"/>
        <w:spacing w:after="0" w:line="240" w:lineRule="auto"/>
        <w:ind w:left="0"/>
        <w:jc w:val="center"/>
        <w:rPr>
          <w:rFonts w:ascii="Barlow Medium" w:eastAsiaTheme="minorEastAsia" w:hAnsi="Barlow Medium" w:cs="Arial"/>
          <w:sz w:val="20"/>
          <w:szCs w:val="20"/>
          <w:lang w:eastAsia="es-MX"/>
        </w:rPr>
      </w:pPr>
      <w:r>
        <w:rPr>
          <w:rFonts w:ascii="Barlow Medium" w:hAnsi="Barlow Medium" w:cs="Arial"/>
          <w:sz w:val="20"/>
          <w:szCs w:val="20"/>
        </w:rPr>
        <w:t>Fuente: Elaboración propia</w:t>
      </w:r>
    </w:p>
    <w:p w:rsidR="004850C2" w:rsidRDefault="004850C2" w:rsidP="004850C2">
      <w:pPr>
        <w:pStyle w:val="Prrafodelista"/>
        <w:spacing w:after="0" w:line="240" w:lineRule="auto"/>
        <w:ind w:left="0"/>
        <w:jc w:val="center"/>
        <w:rPr>
          <w:rFonts w:ascii="Barlow Medium" w:hAnsi="Barlow Medium" w:cs="Arial"/>
          <w:sz w:val="20"/>
          <w:szCs w:val="20"/>
        </w:rPr>
      </w:pP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 xml:space="preserve">El Gobierno del Estado se ha sumado al compromiso de la atención a los Objetivos de Desarrollo Sostenible y sus metas,  se identificaron que los programas y proyectos dirigidos a infancia temprana contribuyen a 9 de los 17 ODS, de los cuales el </w:t>
      </w:r>
      <w:r>
        <w:rPr>
          <w:rFonts w:ascii="Barlow Medium" w:hAnsi="Barlow Medium" w:cs="Arial"/>
          <w:i/>
          <w:color w:val="000000"/>
        </w:rPr>
        <w:t>objetivo 4.</w:t>
      </w:r>
      <w:r>
        <w:rPr>
          <w:rFonts w:ascii="Barlow Medium" w:hAnsi="Barlow Medium" w:cs="Arial"/>
          <w:color w:val="000000"/>
        </w:rPr>
        <w:t xml:space="preserve"> </w:t>
      </w:r>
      <w:r>
        <w:rPr>
          <w:rFonts w:ascii="Barlow Medium" w:hAnsi="Barlow Medium" w:cs="Arial"/>
          <w:i/>
          <w:color w:val="000000"/>
        </w:rPr>
        <w:t>Garantizar una educación inclusiva, equitativa y de calidad y promover oportunidades de aprendizaje durante toda la vida para todos</w:t>
      </w:r>
      <w:r>
        <w:rPr>
          <w:rFonts w:ascii="Barlow Medium" w:hAnsi="Barlow Medium" w:cs="Arial"/>
          <w:color w:val="000000"/>
        </w:rPr>
        <w:t xml:space="preserve">, representa el 68.82% de la inversión en la población de 0 a 5 años; en segundo lugar el </w:t>
      </w:r>
      <w:r>
        <w:rPr>
          <w:rFonts w:ascii="Barlow Medium" w:hAnsi="Barlow Medium" w:cs="Arial"/>
          <w:i/>
          <w:color w:val="000000"/>
        </w:rPr>
        <w:t>objetivo 3.</w:t>
      </w:r>
      <w:r>
        <w:rPr>
          <w:rFonts w:ascii="Barlow Medium" w:hAnsi="Barlow Medium" w:cs="Arial"/>
          <w:color w:val="000000"/>
        </w:rPr>
        <w:t xml:space="preserve"> </w:t>
      </w:r>
      <w:r>
        <w:rPr>
          <w:rFonts w:ascii="Barlow Medium" w:hAnsi="Barlow Medium" w:cs="Arial"/>
          <w:i/>
          <w:color w:val="000000"/>
        </w:rPr>
        <w:t>Garantizar una vida sana y promover el bienestar para todos en todas las edades</w:t>
      </w:r>
      <w:r>
        <w:rPr>
          <w:rFonts w:ascii="Barlow Medium" w:hAnsi="Barlow Medium" w:cs="Arial"/>
          <w:color w:val="000000"/>
        </w:rPr>
        <w:t xml:space="preserve">  con un 15.5% y en tercer lugar, </w:t>
      </w:r>
      <w:r>
        <w:rPr>
          <w:rFonts w:ascii="Barlow Medium" w:hAnsi="Barlow Medium" w:cs="Arial"/>
          <w:i/>
          <w:color w:val="000000"/>
        </w:rPr>
        <w:t>el objetivo 2. Poner fin al hambre, lograr la seguridad alimentaria y la mejora de la nutrición y promover la agricultura sostenible</w:t>
      </w:r>
      <w:r>
        <w:rPr>
          <w:rFonts w:ascii="Barlow Medium" w:hAnsi="Barlow Medium" w:cs="Arial"/>
          <w:color w:val="000000"/>
        </w:rPr>
        <w:t xml:space="preserve"> con un 8.93%. El desglose se presenta a continuación. </w:t>
      </w:r>
    </w:p>
    <w:p w:rsidR="004850C2" w:rsidRDefault="004850C2" w:rsidP="004850C2">
      <w:pPr>
        <w:autoSpaceDE w:val="0"/>
        <w:autoSpaceDN w:val="0"/>
        <w:adjustRightInd w:val="0"/>
        <w:jc w:val="center"/>
        <w:rPr>
          <w:rFonts w:ascii="Barlow Medium" w:hAnsi="Barlow Medium" w:cs="Arial"/>
          <w:b/>
          <w:sz w:val="20"/>
          <w:szCs w:val="20"/>
        </w:rPr>
      </w:pPr>
    </w:p>
    <w:p w:rsidR="004850C2" w:rsidRDefault="004850C2" w:rsidP="004850C2">
      <w:pPr>
        <w:autoSpaceDE w:val="0"/>
        <w:autoSpaceDN w:val="0"/>
        <w:adjustRightInd w:val="0"/>
        <w:jc w:val="center"/>
        <w:rPr>
          <w:rFonts w:ascii="Barlow Medium" w:hAnsi="Barlow Medium" w:cs="Arial"/>
          <w:b/>
          <w:sz w:val="20"/>
          <w:szCs w:val="20"/>
        </w:rPr>
      </w:pPr>
      <w:r>
        <w:rPr>
          <w:rFonts w:ascii="Barlow Medium" w:hAnsi="Barlow Medium" w:cs="Arial"/>
          <w:b/>
          <w:sz w:val="20"/>
          <w:szCs w:val="20"/>
        </w:rPr>
        <w:t>Tabla 4. Objetivos de Desarrollo Sostenibles e inversión infancia temprana</w:t>
      </w:r>
    </w:p>
    <w:p w:rsidR="004850C2" w:rsidRDefault="004850C2" w:rsidP="004850C2">
      <w:pPr>
        <w:autoSpaceDE w:val="0"/>
        <w:autoSpaceDN w:val="0"/>
        <w:adjustRightInd w:val="0"/>
        <w:jc w:val="center"/>
        <w:rPr>
          <w:rFonts w:ascii="Barlow Medium" w:hAnsi="Barlow Medium" w:cs="Arial"/>
          <w:b/>
          <w:sz w:val="20"/>
          <w:szCs w:val="20"/>
        </w:rPr>
      </w:pPr>
    </w:p>
    <w:tbl>
      <w:tblPr>
        <w:tblW w:w="9445" w:type="dxa"/>
        <w:tblInd w:w="55" w:type="dxa"/>
        <w:tblCellMar>
          <w:left w:w="70" w:type="dxa"/>
          <w:right w:w="70" w:type="dxa"/>
        </w:tblCellMar>
        <w:tblLook w:val="04A0"/>
      </w:tblPr>
      <w:tblGrid>
        <w:gridCol w:w="7670"/>
        <w:gridCol w:w="1775"/>
      </w:tblGrid>
      <w:tr w:rsidR="004850C2" w:rsidTr="004850C2">
        <w:trPr>
          <w:trHeight w:val="598"/>
          <w:tblHeader/>
        </w:trPr>
        <w:tc>
          <w:tcPr>
            <w:tcW w:w="7670" w:type="dxa"/>
            <w:tcBorders>
              <w:top w:val="nil"/>
              <w:left w:val="nil"/>
              <w:bottom w:val="single" w:sz="8" w:space="0" w:color="DCE6F1"/>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Objetivos de Desarrollo Sostenibles</w:t>
            </w:r>
          </w:p>
        </w:tc>
        <w:tc>
          <w:tcPr>
            <w:tcW w:w="1775" w:type="dxa"/>
            <w:tcBorders>
              <w:top w:val="nil"/>
              <w:left w:val="nil"/>
              <w:bottom w:val="single" w:sz="8" w:space="0" w:color="DCE6F1"/>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Monto (pesos)</w:t>
            </w:r>
          </w:p>
        </w:tc>
      </w:tr>
      <w:tr w:rsidR="004850C2" w:rsidTr="004850C2">
        <w:trPr>
          <w:trHeight w:val="510"/>
        </w:trPr>
        <w:tc>
          <w:tcPr>
            <w:tcW w:w="7670"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1. Poner fin a la pobreza en todas sus formas en todo el mundo </w:t>
            </w:r>
          </w:p>
        </w:tc>
        <w:tc>
          <w:tcPr>
            <w:tcW w:w="1775" w:type="dxa"/>
            <w:tcBorders>
              <w:top w:val="single" w:sz="4" w:space="0" w:color="366092"/>
              <w:left w:val="nil"/>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14,389,879</w:t>
            </w:r>
          </w:p>
        </w:tc>
      </w:tr>
      <w:tr w:rsidR="004850C2" w:rsidTr="004850C2">
        <w:trPr>
          <w:trHeight w:val="510"/>
        </w:trPr>
        <w:tc>
          <w:tcPr>
            <w:tcW w:w="7670"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2. Poner fin al hambre, lograr la seguridad alimentaria y la mejora de la nutrición y promover la agricultura sostenible </w:t>
            </w:r>
          </w:p>
        </w:tc>
        <w:tc>
          <w:tcPr>
            <w:tcW w:w="1775" w:type="dxa"/>
            <w:tcBorders>
              <w:top w:val="single" w:sz="4" w:space="0" w:color="DCE6F1"/>
              <w:left w:val="nil"/>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292,477,179</w:t>
            </w:r>
          </w:p>
        </w:tc>
      </w:tr>
      <w:tr w:rsidR="004850C2" w:rsidTr="004850C2">
        <w:trPr>
          <w:trHeight w:val="510"/>
        </w:trPr>
        <w:tc>
          <w:tcPr>
            <w:tcW w:w="7670"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3. Garantizar una vida sana y promover el bienestar para todos en todas las edades </w:t>
            </w:r>
          </w:p>
        </w:tc>
        <w:tc>
          <w:tcPr>
            <w:tcW w:w="1775" w:type="dxa"/>
            <w:tcBorders>
              <w:top w:val="single" w:sz="4" w:space="0" w:color="366092"/>
              <w:left w:val="nil"/>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507,503,286</w:t>
            </w:r>
          </w:p>
        </w:tc>
      </w:tr>
      <w:tr w:rsidR="004850C2" w:rsidTr="004850C2">
        <w:trPr>
          <w:trHeight w:val="510"/>
        </w:trPr>
        <w:tc>
          <w:tcPr>
            <w:tcW w:w="7670"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4. Garantizar una educación inclusiva, equitativa y de calidad y promover oportunidades de aprendizaje durante toda la vida para todos </w:t>
            </w:r>
          </w:p>
        </w:tc>
        <w:tc>
          <w:tcPr>
            <w:tcW w:w="1775" w:type="dxa"/>
            <w:tcBorders>
              <w:top w:val="single" w:sz="4" w:space="0" w:color="DCE6F1"/>
              <w:left w:val="nil"/>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2,253,961,042</w:t>
            </w:r>
          </w:p>
        </w:tc>
      </w:tr>
      <w:tr w:rsidR="004850C2" w:rsidTr="004850C2">
        <w:trPr>
          <w:trHeight w:val="510"/>
        </w:trPr>
        <w:tc>
          <w:tcPr>
            <w:tcW w:w="7670"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5. Lograr la igualdad entre los géneros y empoderar a todas las mujeres y las niñas </w:t>
            </w:r>
          </w:p>
        </w:tc>
        <w:tc>
          <w:tcPr>
            <w:tcW w:w="1775" w:type="dxa"/>
            <w:tcBorders>
              <w:top w:val="single" w:sz="4" w:space="0" w:color="366092"/>
              <w:left w:val="nil"/>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893,766</w:t>
            </w:r>
          </w:p>
        </w:tc>
      </w:tr>
      <w:tr w:rsidR="004850C2" w:rsidTr="004850C2">
        <w:trPr>
          <w:trHeight w:val="510"/>
        </w:trPr>
        <w:tc>
          <w:tcPr>
            <w:tcW w:w="7670"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10. Reducir la desigualdad en y entre los países </w:t>
            </w:r>
          </w:p>
        </w:tc>
        <w:tc>
          <w:tcPr>
            <w:tcW w:w="1775" w:type="dxa"/>
            <w:tcBorders>
              <w:top w:val="single" w:sz="4" w:space="0" w:color="DCE6F1"/>
              <w:left w:val="nil"/>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101,506,468</w:t>
            </w:r>
          </w:p>
        </w:tc>
      </w:tr>
      <w:tr w:rsidR="004850C2" w:rsidTr="004850C2">
        <w:trPr>
          <w:trHeight w:val="510"/>
        </w:trPr>
        <w:tc>
          <w:tcPr>
            <w:tcW w:w="7670"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11. Lograr que las ciudades y los asentamientos humanos sean inclusivos, seguros, resilientes y sostenibles </w:t>
            </w:r>
          </w:p>
        </w:tc>
        <w:tc>
          <w:tcPr>
            <w:tcW w:w="1775" w:type="dxa"/>
            <w:tcBorders>
              <w:top w:val="single" w:sz="4" w:space="0" w:color="366092"/>
              <w:left w:val="nil"/>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99,691,050</w:t>
            </w:r>
          </w:p>
        </w:tc>
      </w:tr>
      <w:tr w:rsidR="004850C2" w:rsidTr="004850C2">
        <w:trPr>
          <w:trHeight w:val="510"/>
        </w:trPr>
        <w:tc>
          <w:tcPr>
            <w:tcW w:w="7670" w:type="dxa"/>
            <w:tcBorders>
              <w:top w:val="single" w:sz="4" w:space="0" w:color="DCE6F1"/>
              <w:left w:val="nil"/>
              <w:bottom w:val="single" w:sz="4" w:space="0" w:color="DCE6F1"/>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14. Conservar y utilizar en forma sostenible los océanos, los mares y los recursos marinos para el desarrollo sostenible </w:t>
            </w:r>
          </w:p>
        </w:tc>
        <w:tc>
          <w:tcPr>
            <w:tcW w:w="1775" w:type="dxa"/>
            <w:tcBorders>
              <w:top w:val="single" w:sz="4" w:space="0" w:color="DCE6F1"/>
              <w:left w:val="nil"/>
              <w:bottom w:val="single" w:sz="4" w:space="0" w:color="DCE6F1"/>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11,550</w:t>
            </w:r>
          </w:p>
        </w:tc>
      </w:tr>
      <w:tr w:rsidR="004850C2" w:rsidTr="004850C2">
        <w:trPr>
          <w:trHeight w:val="510"/>
        </w:trPr>
        <w:tc>
          <w:tcPr>
            <w:tcW w:w="7670" w:type="dxa"/>
            <w:tcBorders>
              <w:top w:val="single" w:sz="4" w:space="0" w:color="366092"/>
              <w:left w:val="nil"/>
              <w:bottom w:val="single" w:sz="4" w:space="0" w:color="366092"/>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Objetivo 16. Promover sociedades pacíficas e inclusivas para el desarrollo sostenible, facilitar el acceso a la justicia para todos y crear instituciones eficaces, responsables e inclusivas a todos los niveles </w:t>
            </w:r>
          </w:p>
        </w:tc>
        <w:tc>
          <w:tcPr>
            <w:tcW w:w="1775" w:type="dxa"/>
            <w:tcBorders>
              <w:top w:val="single" w:sz="4" w:space="0" w:color="366092"/>
              <w:left w:val="nil"/>
              <w:bottom w:val="single" w:sz="4" w:space="0" w:color="366092"/>
              <w:right w:val="nil"/>
            </w:tcBorders>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4,470,500</w:t>
            </w:r>
          </w:p>
        </w:tc>
      </w:tr>
    </w:tbl>
    <w:p w:rsidR="004850C2" w:rsidRDefault="004850C2" w:rsidP="004850C2">
      <w:pPr>
        <w:pStyle w:val="Prrafodelista"/>
        <w:ind w:left="0"/>
        <w:jc w:val="center"/>
        <w:rPr>
          <w:rFonts w:ascii="Barlow Medium" w:eastAsiaTheme="minorEastAsia" w:hAnsi="Barlow Medium" w:cs="Arial"/>
          <w:sz w:val="20"/>
          <w:szCs w:val="20"/>
          <w:lang w:eastAsia="es-MX"/>
        </w:rPr>
      </w:pPr>
      <w:r>
        <w:rPr>
          <w:rFonts w:ascii="Barlow Medium" w:hAnsi="Barlow Medium" w:cs="Arial"/>
          <w:sz w:val="20"/>
          <w:szCs w:val="20"/>
        </w:rPr>
        <w:t>Fuente: Elaboración propia.</w:t>
      </w:r>
    </w:p>
    <w:p w:rsidR="004850C2" w:rsidRDefault="004850C2" w:rsidP="004850C2">
      <w:pPr>
        <w:rPr>
          <w:rFonts w:ascii="Barlow Medium" w:hAnsi="Barlow Medium" w:cs="Arial"/>
        </w:rPr>
      </w:pPr>
      <w:r>
        <w:rPr>
          <w:rFonts w:ascii="Barlow Medium" w:hAnsi="Barlow Medium" w:cs="Arial"/>
        </w:rPr>
        <w:lastRenderedPageBreak/>
        <w:br w:type="page"/>
      </w:r>
    </w:p>
    <w:p w:rsidR="004850C2" w:rsidRDefault="004850C2" w:rsidP="004850C2">
      <w:pPr>
        <w:autoSpaceDE w:val="0"/>
        <w:autoSpaceDN w:val="0"/>
        <w:adjustRightInd w:val="0"/>
        <w:jc w:val="center"/>
        <w:rPr>
          <w:rFonts w:ascii="Barlow Medium" w:hAnsi="Barlow Medium" w:cs="Arial"/>
          <w:b/>
        </w:rPr>
      </w:pPr>
      <w:r>
        <w:rPr>
          <w:rFonts w:ascii="Barlow Medium" w:hAnsi="Barlow Medium" w:cs="Arial"/>
          <w:b/>
        </w:rPr>
        <w:lastRenderedPageBreak/>
        <w:t>Anexo 16b. Anexo Presupuestario Transversal de Inversión para Niños, Niñas y Adolescentes</w:t>
      </w:r>
    </w:p>
    <w:p w:rsidR="004850C2" w:rsidRDefault="004850C2" w:rsidP="004850C2">
      <w:pPr>
        <w:autoSpaceDE w:val="0"/>
        <w:autoSpaceDN w:val="0"/>
        <w:adjustRightInd w:val="0"/>
        <w:rPr>
          <w:rFonts w:ascii="Barlow Medium" w:hAnsi="Barlow Medium" w:cs="Arial"/>
          <w:b/>
        </w:rPr>
      </w:pPr>
      <w:r>
        <w:rPr>
          <w:rFonts w:ascii="Barlow Medium" w:hAnsi="Barlow Medium" w:cs="Arial"/>
          <w:b/>
        </w:rPr>
        <w:t xml:space="preserve">Metodología </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Para efectos de este anexo se utilizó la metodología desarrollada de forma conjunta por Unicef y la Fundación IDEA, y se basó en la adaptación al contexto mexicano de un planteamiento metodológico ya aplicado por Unicef en otros países de Latinoamérica</w:t>
      </w:r>
      <w:r>
        <w:rPr>
          <w:rStyle w:val="Refdenotaalpie"/>
          <w:rFonts w:ascii="Barlow Medium" w:hAnsi="Barlow Medium" w:cs="Arial"/>
          <w:color w:val="000000"/>
        </w:rPr>
        <w:footnoteReference w:id="4"/>
      </w:r>
      <w:r>
        <w:rPr>
          <w:rFonts w:ascii="Barlow Medium" w:hAnsi="Barlow Medium" w:cs="Arial"/>
          <w:color w:val="000000"/>
        </w:rPr>
        <w:t>.</w:t>
      </w:r>
    </w:p>
    <w:p w:rsidR="004850C2" w:rsidRDefault="004850C2" w:rsidP="004850C2">
      <w:pPr>
        <w:jc w:val="both"/>
        <w:rPr>
          <w:rFonts w:ascii="Barlow Medium" w:hAnsi="Barlow Medium" w:cs="Arial"/>
        </w:rPr>
      </w:pPr>
      <w:r>
        <w:rPr>
          <w:rFonts w:ascii="Barlow Medium" w:hAnsi="Barlow Medium" w:cs="Arial"/>
        </w:rPr>
        <w:t>Los pasos a seguir para la integración de este Anexo fueron:</w:t>
      </w:r>
    </w:p>
    <w:p w:rsidR="004850C2" w:rsidRDefault="004850C2" w:rsidP="004850C2">
      <w:pPr>
        <w:jc w:val="both"/>
        <w:rPr>
          <w:rFonts w:ascii="Barlow Medium" w:hAnsi="Barlow Medium" w:cs="Arial"/>
          <w:b/>
        </w:rPr>
      </w:pPr>
      <w:r>
        <w:rPr>
          <w:rFonts w:ascii="Barlow Medium" w:hAnsi="Barlow Medium" w:cs="Arial"/>
          <w:b/>
        </w:rPr>
        <w:t xml:space="preserve">Paso 1. </w:t>
      </w:r>
      <w:r>
        <w:rPr>
          <w:rFonts w:ascii="Barlow Medium" w:hAnsi="Barlow Medium" w:cs="Arial"/>
        </w:rPr>
        <w:t>Se identificaron por institución responsable las Unidades Básicas de Presupuestación (UBP) que forman parte del Anteproyecto de Presupuesto 2019 y que destinan parcial o totalmente su presupuesto a la Inversión en Infancia.</w:t>
      </w:r>
      <w:r>
        <w:rPr>
          <w:rFonts w:ascii="Barlow Medium" w:hAnsi="Barlow Medium" w:cs="Arial"/>
          <w:b/>
        </w:rPr>
        <w:t xml:space="preserve"> </w:t>
      </w:r>
    </w:p>
    <w:p w:rsidR="004850C2" w:rsidRPr="00B14FC0" w:rsidRDefault="004850C2" w:rsidP="004850C2">
      <w:pPr>
        <w:pStyle w:val="Prrafodelista"/>
        <w:ind w:left="0"/>
        <w:jc w:val="both"/>
        <w:rPr>
          <w:rFonts w:ascii="Barlow Medium" w:hAnsi="Barlow Medium" w:cs="Arial"/>
          <w:sz w:val="24"/>
          <w:szCs w:val="24"/>
          <w:lang w:val="es-MX"/>
        </w:rPr>
      </w:pPr>
      <w:r w:rsidRPr="00B14FC0">
        <w:rPr>
          <w:rFonts w:ascii="Barlow Medium" w:hAnsi="Barlow Medium" w:cs="Arial"/>
          <w:sz w:val="24"/>
          <w:szCs w:val="24"/>
          <w:lang w:val="es-MX"/>
        </w:rPr>
        <w:t>Es decir, se seleccionaron aquellas UBP destinadas a financiar programas que benefician en forma directa a niños, niñas y adolescentes (población de 0 a 17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los niños y niñas.</w:t>
      </w:r>
    </w:p>
    <w:p w:rsidR="004850C2" w:rsidRPr="00B14FC0" w:rsidRDefault="004850C2" w:rsidP="004850C2">
      <w:pPr>
        <w:pStyle w:val="Prrafodelista"/>
        <w:ind w:left="0"/>
        <w:jc w:val="both"/>
        <w:rPr>
          <w:rFonts w:ascii="Barlow Medium" w:hAnsi="Barlow Medium" w:cs="Arial"/>
          <w:sz w:val="24"/>
          <w:szCs w:val="24"/>
          <w:lang w:val="es-MX"/>
        </w:rPr>
      </w:pPr>
    </w:p>
    <w:p w:rsidR="004850C2" w:rsidRPr="00B14FC0" w:rsidRDefault="004850C2" w:rsidP="004850C2">
      <w:pPr>
        <w:pStyle w:val="Prrafodelista"/>
        <w:ind w:left="0"/>
        <w:jc w:val="both"/>
        <w:rPr>
          <w:rFonts w:ascii="Barlow Medium" w:hAnsi="Barlow Medium" w:cs="Arial"/>
          <w:sz w:val="24"/>
          <w:szCs w:val="24"/>
          <w:lang w:val="es-MX"/>
        </w:rPr>
      </w:pPr>
      <w:r w:rsidRPr="00B14FC0">
        <w:rPr>
          <w:rFonts w:ascii="Barlow Medium" w:hAnsi="Barlow Medium" w:cs="Arial"/>
          <w:sz w:val="24"/>
          <w:szCs w:val="24"/>
          <w:lang w:val="es-MX"/>
        </w:rPr>
        <w:t>A partir de este ejercicio no se consideraron las UBP que contemplan los gastos generales de las oficinas tales como suministro de servicios básicos, arrendamientos entre otros, ya que no tienen impacto en la atención a los niños, niñas y adolescentes.</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b/>
          <w:color w:val="000000"/>
        </w:rPr>
        <w:t xml:space="preserve">Paso 2. </w:t>
      </w:r>
      <w:r>
        <w:rPr>
          <w:rFonts w:ascii="Barlow Medium" w:hAnsi="Barlow Medium" w:cs="Arial"/>
          <w:color w:val="000000"/>
        </w:rPr>
        <w:t>Una vez identificadas las UBP, éstas se clasificaron de acuerdo con los derechos de la niñez estipulados en la Convención de los Derechos del Niño (CDN), y desglosa éstos en temas específicos (Tabla1):</w:t>
      </w: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1. Derechos de la Niñez  y Adolescencia</w:t>
      </w:r>
    </w:p>
    <w:tbl>
      <w:tblPr>
        <w:tblW w:w="5000" w:type="pct"/>
        <w:jc w:val="center"/>
        <w:tblLook w:val="04A0"/>
      </w:tblPr>
      <w:tblGrid>
        <w:gridCol w:w="1980"/>
        <w:gridCol w:w="5325"/>
        <w:gridCol w:w="2815"/>
      </w:tblGrid>
      <w:tr w:rsidR="004850C2" w:rsidTr="004850C2">
        <w:trPr>
          <w:trHeight w:val="624"/>
          <w:tblHeader/>
          <w:jc w:val="center"/>
        </w:trPr>
        <w:tc>
          <w:tcPr>
            <w:tcW w:w="978" w:type="pct"/>
            <w:tcBorders>
              <w:top w:val="single" w:sz="8" w:space="0" w:color="000000" w:themeColor="text1"/>
              <w:left w:val="single" w:sz="8" w:space="0" w:color="000000" w:themeColor="text1"/>
              <w:bottom w:val="single" w:sz="4" w:space="0" w:color="FFFFFF" w:themeColor="background1"/>
              <w:right w:val="nil"/>
            </w:tcBorders>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Derecho</w:t>
            </w:r>
          </w:p>
        </w:tc>
        <w:tc>
          <w:tcPr>
            <w:tcW w:w="2631" w:type="pct"/>
            <w:tcBorders>
              <w:top w:val="single" w:sz="8" w:space="0" w:color="000000" w:themeColor="text1"/>
              <w:left w:val="nil"/>
              <w:bottom w:val="single" w:sz="4" w:space="0" w:color="FFFFFF" w:themeColor="background1"/>
              <w:right w:val="nil"/>
            </w:tcBorders>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Conceptualización</w:t>
            </w:r>
          </w:p>
        </w:tc>
        <w:tc>
          <w:tcPr>
            <w:tcW w:w="1391" w:type="pct"/>
            <w:tcBorders>
              <w:top w:val="single" w:sz="8" w:space="0" w:color="000000" w:themeColor="text1"/>
              <w:left w:val="nil"/>
              <w:bottom w:val="single" w:sz="4" w:space="0" w:color="FFFFFF" w:themeColor="background1"/>
              <w:right w:val="single" w:sz="8" w:space="0" w:color="000000" w:themeColor="text1"/>
            </w:tcBorders>
            <w:vAlign w:val="center"/>
            <w:hideMark/>
          </w:tcPr>
          <w:p w:rsidR="004850C2" w:rsidRDefault="004850C2">
            <w:pPr>
              <w:autoSpaceDE w:val="0"/>
              <w:autoSpaceDN w:val="0"/>
              <w:adjustRightInd w:val="0"/>
              <w:jc w:val="center"/>
              <w:rPr>
                <w:rFonts w:ascii="Barlow Medium" w:hAnsi="Barlow Medium" w:cs="Arial"/>
                <w:b/>
                <w:sz w:val="20"/>
                <w:szCs w:val="20"/>
              </w:rPr>
            </w:pPr>
            <w:r>
              <w:rPr>
                <w:rFonts w:ascii="Barlow Medium" w:hAnsi="Barlow Medium" w:cs="Arial"/>
                <w:sz w:val="20"/>
                <w:szCs w:val="20"/>
              </w:rPr>
              <w:t>Tema Específico</w:t>
            </w:r>
          </w:p>
        </w:tc>
      </w:tr>
      <w:tr w:rsidR="004850C2" w:rsidTr="004850C2">
        <w:trPr>
          <w:trHeight w:val="1870"/>
          <w:jc w:val="center"/>
        </w:trPr>
        <w:tc>
          <w:tcPr>
            <w:tcW w:w="978" w:type="pct"/>
            <w:tcBorders>
              <w:top w:val="single" w:sz="4" w:space="0" w:color="FFFFFF" w:themeColor="background1"/>
              <w:right w:val="nil"/>
            </w:tcBorders>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lastRenderedPageBreak/>
              <w:t>Derecho a la Supervivencia</w:t>
            </w:r>
          </w:p>
        </w:tc>
        <w:tc>
          <w:tcPr>
            <w:tcW w:w="2631" w:type="pct"/>
            <w:tcBorders>
              <w:top w:val="single" w:sz="4" w:space="0" w:color="FFFFFF" w:themeColor="background1"/>
              <w:left w:val="nil"/>
              <w:right w:val="nil"/>
            </w:tcBorders>
            <w:vAlign w:val="center"/>
            <w:hideMark/>
          </w:tcPr>
          <w:p w:rsidR="004850C2" w:rsidRDefault="004850C2">
            <w:pPr>
              <w:autoSpaceDE w:val="0"/>
              <w:autoSpaceDN w:val="0"/>
              <w:adjustRightInd w:val="0"/>
              <w:rPr>
                <w:rFonts w:ascii="Barlow Medium" w:hAnsi="Barlow Medium" w:cs="Arial"/>
                <w:color w:val="000000"/>
                <w:sz w:val="20"/>
                <w:szCs w:val="20"/>
              </w:rPr>
            </w:pPr>
            <w:r>
              <w:rPr>
                <w:rFonts w:ascii="Barlow Medium" w:hAnsi="Barlow Medium" w:cs="Arial"/>
                <w:sz w:val="20"/>
                <w:szCs w:val="20"/>
              </w:rPr>
              <w:t>Se refiere al derecho a los recursos, las aptitudes y las contribuciones necesarias para la supervivencia del niño. Estos derechos exigen que existan los medios para lograr que se cumplan, y también que se garantice el acceso a ellos.</w:t>
            </w:r>
          </w:p>
        </w:tc>
        <w:tc>
          <w:tcPr>
            <w:tcW w:w="1391" w:type="pct"/>
            <w:tcBorders>
              <w:top w:val="single" w:sz="4" w:space="0" w:color="FFFFFF" w:themeColor="background1"/>
              <w:left w:val="nil"/>
            </w:tcBorders>
            <w:vAlign w:val="center"/>
            <w:hideMark/>
          </w:tcPr>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Salud</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Vivienda y su infraestructura</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Alimentación y Nutrición</w:t>
            </w:r>
          </w:p>
          <w:p w:rsidR="004850C2" w:rsidRDefault="004850C2" w:rsidP="00E22205">
            <w:pPr>
              <w:pStyle w:val="Prrafodelista"/>
              <w:numPr>
                <w:ilvl w:val="0"/>
                <w:numId w:val="34"/>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Asistencia social</w:t>
            </w:r>
          </w:p>
        </w:tc>
      </w:tr>
      <w:tr w:rsidR="004850C2" w:rsidTr="004850C2">
        <w:trPr>
          <w:trHeight w:val="1972"/>
          <w:jc w:val="center"/>
        </w:trPr>
        <w:tc>
          <w:tcPr>
            <w:tcW w:w="978" w:type="pct"/>
            <w:tcBorders>
              <w:top w:val="nil"/>
              <w:left w:val="single" w:sz="8" w:space="0" w:color="000000" w:themeColor="text1"/>
              <w:bottom w:val="nil"/>
            </w:tcBorders>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t>Derecho al Desarrollo</w:t>
            </w:r>
          </w:p>
        </w:tc>
        <w:tc>
          <w:tcPr>
            <w:tcW w:w="2631" w:type="pct"/>
            <w:tcBorders>
              <w:top w:val="nil"/>
              <w:bottom w:val="nil"/>
            </w:tcBorders>
            <w:vAlign w:val="center"/>
            <w:hideMark/>
          </w:tcPr>
          <w:p w:rsidR="004850C2" w:rsidRDefault="004850C2">
            <w:pPr>
              <w:autoSpaceDE w:val="0"/>
              <w:autoSpaceDN w:val="0"/>
              <w:adjustRightInd w:val="0"/>
              <w:rPr>
                <w:rFonts w:ascii="Barlow Medium" w:hAnsi="Barlow Medium" w:cs="Arial"/>
                <w:color w:val="000000"/>
                <w:sz w:val="20"/>
                <w:szCs w:val="20"/>
              </w:rPr>
            </w:pPr>
            <w:r>
              <w:rPr>
                <w:rFonts w:ascii="Barlow Medium" w:hAnsi="Barlow Medium"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tc>
        <w:tc>
          <w:tcPr>
            <w:tcW w:w="1391" w:type="pct"/>
            <w:tcBorders>
              <w:top w:val="nil"/>
              <w:bottom w:val="nil"/>
              <w:right w:val="single" w:sz="8" w:space="0" w:color="000000" w:themeColor="text1"/>
            </w:tcBorders>
            <w:vAlign w:val="center"/>
            <w:hideMark/>
          </w:tcPr>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Educación</w:t>
            </w:r>
          </w:p>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Deportes, recreación y cultura</w:t>
            </w:r>
          </w:p>
          <w:p w:rsidR="004850C2" w:rsidRDefault="004850C2" w:rsidP="00E22205">
            <w:pPr>
              <w:pStyle w:val="Prrafodelista"/>
              <w:numPr>
                <w:ilvl w:val="0"/>
                <w:numId w:val="35"/>
              </w:numPr>
              <w:autoSpaceDE w:val="0"/>
              <w:autoSpaceDN w:val="0"/>
              <w:adjustRightInd w:val="0"/>
              <w:spacing w:after="0" w:line="276" w:lineRule="auto"/>
              <w:ind w:left="428"/>
              <w:rPr>
                <w:rFonts w:ascii="Barlow Medium" w:hAnsi="Barlow Medium" w:cs="Arial"/>
                <w:color w:val="000000"/>
                <w:sz w:val="20"/>
                <w:szCs w:val="20"/>
              </w:rPr>
            </w:pPr>
            <w:r>
              <w:rPr>
                <w:rFonts w:ascii="Barlow Medium" w:hAnsi="Barlow Medium" w:cs="Arial"/>
                <w:color w:val="000000"/>
                <w:sz w:val="20"/>
                <w:szCs w:val="20"/>
              </w:rPr>
              <w:t>Urbanización y desarrollo regional</w:t>
            </w:r>
          </w:p>
        </w:tc>
      </w:tr>
      <w:tr w:rsidR="004850C2" w:rsidTr="004850C2">
        <w:trPr>
          <w:trHeight w:val="1958"/>
          <w:jc w:val="center"/>
        </w:trPr>
        <w:tc>
          <w:tcPr>
            <w:tcW w:w="978" w:type="pct"/>
            <w:tcBorders>
              <w:right w:val="nil"/>
            </w:tcBorders>
            <w:vAlign w:val="center"/>
            <w:hideMark/>
          </w:tcPr>
          <w:p w:rsidR="004850C2" w:rsidRDefault="004850C2">
            <w:pPr>
              <w:autoSpaceDE w:val="0"/>
              <w:autoSpaceDN w:val="0"/>
              <w:adjustRightInd w:val="0"/>
              <w:jc w:val="center"/>
              <w:rPr>
                <w:rFonts w:ascii="Barlow Medium" w:hAnsi="Barlow Medium" w:cs="Arial"/>
                <w:color w:val="000000"/>
                <w:sz w:val="20"/>
                <w:szCs w:val="20"/>
              </w:rPr>
            </w:pPr>
            <w:r>
              <w:rPr>
                <w:rFonts w:ascii="Barlow Medium" w:hAnsi="Barlow Medium" w:cs="Arial"/>
                <w:sz w:val="20"/>
                <w:szCs w:val="20"/>
              </w:rPr>
              <w:t>Derecho a la Participación</w:t>
            </w:r>
          </w:p>
        </w:tc>
        <w:tc>
          <w:tcPr>
            <w:tcW w:w="2631" w:type="pct"/>
            <w:tcBorders>
              <w:left w:val="nil"/>
              <w:right w:val="nil"/>
            </w:tcBorders>
            <w:vAlign w:val="center"/>
            <w:hideMark/>
          </w:tcPr>
          <w:p w:rsidR="004850C2" w:rsidRDefault="004850C2">
            <w:pPr>
              <w:autoSpaceDE w:val="0"/>
              <w:autoSpaceDN w:val="0"/>
              <w:adjustRightInd w:val="0"/>
              <w:rPr>
                <w:rFonts w:ascii="Barlow Medium" w:hAnsi="Barlow Medium" w:cs="Arial"/>
                <w:color w:val="000000"/>
                <w:sz w:val="20"/>
                <w:szCs w:val="20"/>
              </w:rPr>
            </w:pPr>
            <w:r>
              <w:rPr>
                <w:rFonts w:ascii="Barlow Medium" w:hAnsi="Barlow Medium"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1391" w:type="pct"/>
            <w:tcBorders>
              <w:left w:val="nil"/>
            </w:tcBorders>
            <w:vAlign w:val="center"/>
          </w:tcPr>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Información</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Medios masivos de comunicación</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Participación ciudadana</w:t>
            </w:r>
          </w:p>
          <w:p w:rsidR="004850C2" w:rsidRDefault="004850C2">
            <w:pPr>
              <w:autoSpaceDE w:val="0"/>
              <w:autoSpaceDN w:val="0"/>
              <w:adjustRightInd w:val="0"/>
              <w:rPr>
                <w:rFonts w:ascii="Barlow Medium" w:hAnsi="Barlow Medium" w:cs="Arial"/>
                <w:color w:val="000000"/>
                <w:sz w:val="20"/>
                <w:szCs w:val="20"/>
              </w:rPr>
            </w:pPr>
          </w:p>
        </w:tc>
      </w:tr>
      <w:tr w:rsidR="004850C2" w:rsidTr="004850C2">
        <w:trPr>
          <w:trHeight w:val="1546"/>
          <w:jc w:val="center"/>
        </w:trPr>
        <w:tc>
          <w:tcPr>
            <w:tcW w:w="978" w:type="pct"/>
            <w:tcBorders>
              <w:top w:val="nil"/>
              <w:left w:val="single" w:sz="8" w:space="0" w:color="000000" w:themeColor="text1"/>
              <w:bottom w:val="single" w:sz="8" w:space="0" w:color="000000" w:themeColor="text1"/>
            </w:tcBorders>
            <w:vAlign w:val="center"/>
          </w:tcPr>
          <w:p w:rsidR="004850C2" w:rsidRDefault="004850C2">
            <w:pPr>
              <w:jc w:val="center"/>
              <w:rPr>
                <w:rFonts w:ascii="Barlow Medium" w:hAnsi="Barlow Medium" w:cs="Arial"/>
                <w:sz w:val="20"/>
                <w:szCs w:val="20"/>
              </w:rPr>
            </w:pPr>
            <w:r>
              <w:rPr>
                <w:rFonts w:ascii="Barlow Medium" w:hAnsi="Barlow Medium" w:cs="Arial"/>
                <w:sz w:val="20"/>
                <w:szCs w:val="20"/>
              </w:rPr>
              <w:t>Derecho a la Protección</w:t>
            </w:r>
          </w:p>
          <w:p w:rsidR="004850C2" w:rsidRDefault="004850C2">
            <w:pPr>
              <w:autoSpaceDE w:val="0"/>
              <w:autoSpaceDN w:val="0"/>
              <w:adjustRightInd w:val="0"/>
              <w:jc w:val="center"/>
              <w:rPr>
                <w:rFonts w:ascii="Barlow Medium" w:hAnsi="Barlow Medium" w:cs="Arial"/>
                <w:color w:val="000000"/>
                <w:sz w:val="20"/>
                <w:szCs w:val="20"/>
              </w:rPr>
            </w:pPr>
          </w:p>
        </w:tc>
        <w:tc>
          <w:tcPr>
            <w:tcW w:w="2631" w:type="pct"/>
            <w:tcBorders>
              <w:top w:val="nil"/>
              <w:bottom w:val="single" w:sz="8" w:space="0" w:color="000000" w:themeColor="text1"/>
            </w:tcBorders>
            <w:vAlign w:val="center"/>
            <w:hideMark/>
          </w:tcPr>
          <w:p w:rsidR="004850C2" w:rsidRDefault="004850C2">
            <w:pPr>
              <w:autoSpaceDE w:val="0"/>
              <w:autoSpaceDN w:val="0"/>
              <w:adjustRightInd w:val="0"/>
              <w:rPr>
                <w:rFonts w:ascii="Barlow Medium" w:hAnsi="Barlow Medium" w:cs="Arial"/>
                <w:color w:val="000000"/>
                <w:sz w:val="20"/>
                <w:szCs w:val="20"/>
              </w:rPr>
            </w:pPr>
            <w:r>
              <w:rPr>
                <w:rFonts w:ascii="Barlow Medium" w:hAnsi="Barlow Medium"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1391" w:type="pct"/>
            <w:tcBorders>
              <w:top w:val="nil"/>
              <w:bottom w:val="single" w:sz="8" w:space="0" w:color="000000" w:themeColor="text1"/>
              <w:right w:val="single" w:sz="8" w:space="0" w:color="000000" w:themeColor="text1"/>
            </w:tcBorders>
            <w:vAlign w:val="center"/>
            <w:hideMark/>
          </w:tcPr>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Seguridad Legal</w:t>
            </w:r>
          </w:p>
          <w:p w:rsidR="004850C2" w:rsidRDefault="004850C2" w:rsidP="00E22205">
            <w:pPr>
              <w:pStyle w:val="Prrafodelista"/>
              <w:numPr>
                <w:ilvl w:val="0"/>
                <w:numId w:val="33"/>
              </w:numPr>
              <w:autoSpaceDE w:val="0"/>
              <w:autoSpaceDN w:val="0"/>
              <w:adjustRightInd w:val="0"/>
              <w:spacing w:after="0" w:line="276" w:lineRule="auto"/>
              <w:rPr>
                <w:rFonts w:ascii="Barlow Medium" w:hAnsi="Barlow Medium" w:cs="Arial"/>
                <w:color w:val="000000"/>
                <w:sz w:val="20"/>
                <w:szCs w:val="20"/>
              </w:rPr>
            </w:pPr>
            <w:r>
              <w:rPr>
                <w:rFonts w:ascii="Barlow Medium" w:hAnsi="Barlow Medium" w:cs="Arial"/>
                <w:color w:val="000000"/>
                <w:sz w:val="20"/>
                <w:szCs w:val="20"/>
              </w:rPr>
              <w:t>Discriminación</w:t>
            </w:r>
          </w:p>
        </w:tc>
      </w:tr>
    </w:tbl>
    <w:p w:rsidR="004850C2" w:rsidRDefault="004850C2" w:rsidP="004850C2">
      <w:pPr>
        <w:autoSpaceDE w:val="0"/>
        <w:autoSpaceDN w:val="0"/>
        <w:adjustRightInd w:val="0"/>
        <w:jc w:val="center"/>
        <w:rPr>
          <w:rFonts w:ascii="Barlow Medium" w:hAnsi="Barlow Medium" w:cs="Arial"/>
          <w:color w:val="000000"/>
          <w:sz w:val="20"/>
          <w:szCs w:val="20"/>
          <w:lang w:eastAsia="es-MX"/>
        </w:rPr>
      </w:pPr>
      <w:r>
        <w:rPr>
          <w:rFonts w:ascii="Barlow Medium" w:hAnsi="Barlow Medium" w:cs="Arial"/>
          <w:color w:val="000000"/>
          <w:sz w:val="20"/>
          <w:szCs w:val="20"/>
        </w:rPr>
        <w:t>Fuente: Elaboración propia basada en metodología de UNICEF</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b/>
          <w:color w:val="000000"/>
        </w:rPr>
        <w:t xml:space="preserve">Paso 3. </w:t>
      </w:r>
      <w:r>
        <w:rPr>
          <w:rFonts w:ascii="Barlow Medium" w:hAnsi="Barlow Medium" w:cs="Arial"/>
          <w:color w:val="000000"/>
        </w:rPr>
        <w:t xml:space="preserve">Posteriormente, se determinó el grado de focalización de la inversión en la infancia en el Estado, clasificando las UBP en alguna de las cuatro categorías de especificidad de la inversión: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color w:val="000000"/>
          <w:sz w:val="24"/>
          <w:szCs w:val="24"/>
          <w:lang w:val="es-MX"/>
        </w:rPr>
      </w:pPr>
      <w:r w:rsidRPr="00B14FC0">
        <w:rPr>
          <w:rFonts w:ascii="Barlow Medium" w:hAnsi="Barlow Medium" w:cs="Arial"/>
          <w:i/>
          <w:color w:val="000000"/>
          <w:sz w:val="24"/>
          <w:szCs w:val="24"/>
          <w:lang w:val="es-MX"/>
        </w:rPr>
        <w:t>Inversión específica</w:t>
      </w:r>
      <w:r w:rsidRPr="00B14FC0">
        <w:rPr>
          <w:rFonts w:ascii="Barlow Medium" w:hAnsi="Barlow Medium" w:cs="Arial"/>
          <w:color w:val="000000"/>
          <w:sz w:val="24"/>
          <w:szCs w:val="24"/>
          <w:lang w:val="es-MX"/>
        </w:rPr>
        <w:t xml:space="preserve">.  Es la inversión destinada a financiar las UBP que entregan beneficios directamente a los niños, niñas o adolescentes para asegurar el cumplimiento de sus derechos;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color w:val="000000"/>
          <w:sz w:val="24"/>
          <w:szCs w:val="24"/>
          <w:lang w:val="es-MX"/>
        </w:rPr>
      </w:pPr>
      <w:r w:rsidRPr="00B14FC0">
        <w:rPr>
          <w:rFonts w:ascii="Barlow Medium" w:hAnsi="Barlow Medium" w:cs="Arial"/>
          <w:i/>
          <w:color w:val="000000"/>
          <w:sz w:val="24"/>
          <w:szCs w:val="24"/>
          <w:lang w:val="es-MX"/>
        </w:rPr>
        <w:t>Inversión agéntica</w:t>
      </w:r>
      <w:r w:rsidRPr="00B14FC0">
        <w:rPr>
          <w:rFonts w:ascii="Barlow Medium" w:hAnsi="Barlow Medium" w:cs="Arial"/>
          <w:color w:val="000000"/>
          <w:sz w:val="24"/>
          <w:szCs w:val="24"/>
          <w:lang w:val="es-MX"/>
        </w:rPr>
        <w:t xml:space="preserve">. Aquella destinada a financiar las UBP que promuevan el fortalecimiento de los agentes que actúan a favor de la niñez –padres, tutores y profesionales enfocados en forma exclusiva a la atención de los menores de 18 años –, como agentes del bienestar de la infancia;  </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sz w:val="24"/>
          <w:szCs w:val="24"/>
          <w:lang w:val="es-MX"/>
        </w:rPr>
      </w:pPr>
      <w:r w:rsidRPr="00B14FC0">
        <w:rPr>
          <w:rFonts w:ascii="Barlow Medium" w:hAnsi="Barlow Medium" w:cs="Arial"/>
          <w:i/>
          <w:color w:val="000000"/>
          <w:sz w:val="24"/>
          <w:szCs w:val="24"/>
          <w:lang w:val="es-MX"/>
        </w:rPr>
        <w:lastRenderedPageBreak/>
        <w:t>Inversión en bienes públicos.</w:t>
      </w:r>
      <w:r w:rsidRPr="00B14FC0">
        <w:rPr>
          <w:rFonts w:ascii="Barlow Medium" w:hAnsi="Barlow Medium" w:cs="Arial"/>
          <w:color w:val="000000"/>
          <w:sz w:val="24"/>
          <w:szCs w:val="24"/>
          <w:lang w:val="es-MX"/>
        </w:rPr>
        <w:t xml:space="preserve"> Es aquella inversión destinada a financiar las UBP que proveen servicios prestados de forma abierta a la sociedad y que hayan estado al menos parcialmente diseñados para atender necesidades específicas de los niños.</w:t>
      </w:r>
    </w:p>
    <w:p w:rsidR="004850C2" w:rsidRPr="00B14FC0" w:rsidRDefault="004850C2" w:rsidP="00E22205">
      <w:pPr>
        <w:pStyle w:val="Prrafodelista"/>
        <w:numPr>
          <w:ilvl w:val="0"/>
          <w:numId w:val="36"/>
        </w:numPr>
        <w:autoSpaceDE w:val="0"/>
        <w:autoSpaceDN w:val="0"/>
        <w:adjustRightInd w:val="0"/>
        <w:spacing w:after="200" w:line="276" w:lineRule="auto"/>
        <w:jc w:val="both"/>
        <w:rPr>
          <w:rFonts w:ascii="Barlow Medium" w:hAnsi="Barlow Medium" w:cs="Arial"/>
          <w:sz w:val="24"/>
          <w:szCs w:val="24"/>
          <w:lang w:val="es-MX"/>
        </w:rPr>
      </w:pPr>
      <w:r w:rsidRPr="00B14FC0">
        <w:rPr>
          <w:rFonts w:ascii="Barlow Medium" w:hAnsi="Barlow Medium" w:cs="Arial"/>
          <w:i/>
          <w:color w:val="000000"/>
          <w:sz w:val="24"/>
          <w:szCs w:val="24"/>
          <w:lang w:val="es-MX"/>
        </w:rPr>
        <w:t>Inversión ampliada.</w:t>
      </w:r>
      <w:r w:rsidRPr="00B14FC0">
        <w:rPr>
          <w:rFonts w:ascii="Barlow Medium" w:hAnsi="Barlow Medium" w:cs="Arial"/>
          <w:color w:val="000000"/>
          <w:sz w:val="24"/>
          <w:szCs w:val="24"/>
          <w:lang w:val="es-MX"/>
        </w:rPr>
        <w:t xml:space="preserve"> Aquella destinada a financiar las UBP que atienden a grupos de la población vulnerable en la que los niños representan una fracción importante, y que tienen elementos que atienden a estos últimos</w:t>
      </w:r>
      <w:r>
        <w:rPr>
          <w:rStyle w:val="Refdenotaalpie"/>
          <w:rFonts w:ascii="Barlow Medium" w:hAnsi="Barlow Medium" w:cs="Arial"/>
          <w:color w:val="000000"/>
          <w:sz w:val="24"/>
          <w:szCs w:val="24"/>
        </w:rPr>
        <w:footnoteReference w:id="5"/>
      </w:r>
      <w:r w:rsidRPr="00B14FC0">
        <w:rPr>
          <w:rFonts w:ascii="Barlow Medium" w:hAnsi="Barlow Medium" w:cs="Arial"/>
          <w:color w:val="000000"/>
          <w:sz w:val="24"/>
          <w:szCs w:val="24"/>
          <w:lang w:val="es-MX"/>
        </w:rPr>
        <w:t>.</w:t>
      </w:r>
    </w:p>
    <w:p w:rsidR="004850C2" w:rsidRDefault="004850C2" w:rsidP="004850C2">
      <w:pPr>
        <w:jc w:val="both"/>
        <w:rPr>
          <w:rFonts w:ascii="Barlow Medium" w:hAnsi="Barlow Medium" w:cs="Arial"/>
        </w:rPr>
      </w:pPr>
      <w:r>
        <w:rPr>
          <w:rFonts w:ascii="Barlow Medium" w:hAnsi="Barlow Medium" w:cs="Arial"/>
          <w:b/>
        </w:rPr>
        <w:t xml:space="preserve">Paso 4. </w:t>
      </w:r>
      <w:r>
        <w:rPr>
          <w:rFonts w:ascii="Barlow Medium" w:hAnsi="Barlow Medium" w:cs="Arial"/>
        </w:rPr>
        <w:t>Se llevó a cabo la alineación correspondiente de las UBP con los Programas Presupuestarios.</w:t>
      </w:r>
    </w:p>
    <w:p w:rsidR="004850C2" w:rsidRDefault="004850C2" w:rsidP="004850C2">
      <w:pPr>
        <w:jc w:val="both"/>
        <w:rPr>
          <w:rFonts w:ascii="Barlow Medium" w:hAnsi="Barlow Medium" w:cs="Arial"/>
        </w:rPr>
      </w:pPr>
      <w:r>
        <w:rPr>
          <w:rFonts w:ascii="Barlow Medium" w:hAnsi="Barlow Medium" w:cs="Arial"/>
          <w:b/>
        </w:rPr>
        <w:t>Paso 5</w:t>
      </w:r>
      <w:r>
        <w:rPr>
          <w:rFonts w:ascii="Barlow Medium" w:hAnsi="Barlow Medium" w:cs="Arial"/>
        </w:rPr>
        <w:t>. Por último, y tomando en cuenta la publicación de los Objetivos de Desarrollo Sostenible de las Naciones Unidas, se analizaron los programas y acciones clasificados como inversión en infancia y en infancia temprana en el Estado para vincular aquellos que contribuyen al cumplimiento de las metas de dichos objetivos.</w:t>
      </w:r>
    </w:p>
    <w:p w:rsidR="004850C2" w:rsidRDefault="004850C2" w:rsidP="004850C2">
      <w:pPr>
        <w:autoSpaceDE w:val="0"/>
        <w:autoSpaceDN w:val="0"/>
        <w:adjustRightInd w:val="0"/>
        <w:rPr>
          <w:rFonts w:ascii="Barlow Medium" w:hAnsi="Barlow Medium" w:cs="Arial"/>
          <w:b/>
          <w:color w:val="000000"/>
        </w:rPr>
      </w:pPr>
      <w:r>
        <w:rPr>
          <w:rFonts w:ascii="Barlow Medium" w:hAnsi="Barlow Medium" w:cs="Arial"/>
          <w:b/>
          <w:color w:val="000000"/>
        </w:rPr>
        <w:t>Análisis de resultados</w:t>
      </w:r>
    </w:p>
    <w:p w:rsidR="004850C2" w:rsidRDefault="004850C2" w:rsidP="004850C2">
      <w:pPr>
        <w:autoSpaceDE w:val="0"/>
        <w:autoSpaceDN w:val="0"/>
        <w:adjustRightInd w:val="0"/>
        <w:jc w:val="both"/>
        <w:rPr>
          <w:rFonts w:ascii="Barlow Medium" w:hAnsi="Barlow Medium" w:cs="Arial"/>
          <w:color w:val="000000"/>
        </w:rPr>
      </w:pPr>
      <w:bookmarkStart w:id="0" w:name="OLE_LINK5"/>
      <w:r>
        <w:rPr>
          <w:rFonts w:ascii="Barlow Medium" w:hAnsi="Barlow Medium" w:cs="Arial"/>
          <w:color w:val="000000"/>
        </w:rPr>
        <w:t xml:space="preserve">Para el Proyecto del Presupuesto de Egresos del 2019, el Gobierno del Estado destinará 13 mil 116 millones 527 mil 171 pesos, a programas dirigidos a la población de 0 a 17 años, lo que representa un 32.31% del total del presupuesto estatal </w:t>
      </w:r>
      <w:r>
        <w:rPr>
          <w:rFonts w:ascii="Barlow Medium" w:hAnsi="Barlow Medium" w:cs="Arial"/>
        </w:rPr>
        <w:t xml:space="preserve">y 40.07% </w:t>
      </w:r>
      <w:r>
        <w:rPr>
          <w:rFonts w:ascii="Barlow Medium" w:hAnsi="Barlow Medium" w:cs="Arial"/>
          <w:color w:val="000000"/>
        </w:rPr>
        <w:t xml:space="preserve">del gasto programable (Gráfica 1). </w:t>
      </w: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Gráfica 1. Inversión en Infancia</w:t>
      </w:r>
    </w:p>
    <w:p w:rsidR="004850C2" w:rsidRDefault="004850C2" w:rsidP="004850C2">
      <w:pPr>
        <w:autoSpaceDE w:val="0"/>
        <w:autoSpaceDN w:val="0"/>
        <w:adjustRightInd w:val="0"/>
        <w:jc w:val="center"/>
        <w:rPr>
          <w:rFonts w:ascii="Barlow Medium" w:hAnsi="Barlow Medium" w:cs="Arial"/>
          <w:b/>
          <w:color w:val="000000"/>
          <w:sz w:val="20"/>
          <w:szCs w:val="20"/>
        </w:rPr>
      </w:pPr>
      <w:r>
        <w:rPr>
          <w:noProof/>
          <w:lang w:val="es-MX" w:eastAsia="es-MX"/>
        </w:rPr>
        <w:drawing>
          <wp:inline distT="0" distB="0" distL="0" distR="0">
            <wp:extent cx="3971925" cy="2428875"/>
            <wp:effectExtent l="0" t="0" r="15875"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850C2" w:rsidRPr="00B14FC0" w:rsidRDefault="004850C2" w:rsidP="004850C2">
      <w:pPr>
        <w:pStyle w:val="Prrafodelista"/>
        <w:spacing w:after="0" w:line="240" w:lineRule="auto"/>
        <w:ind w:left="0"/>
        <w:jc w:val="center"/>
        <w:rPr>
          <w:rFonts w:ascii="Barlow Medium" w:hAnsi="Barlow Medium" w:cs="Arial"/>
          <w:sz w:val="20"/>
          <w:szCs w:val="20"/>
          <w:lang w:val="es-MX"/>
        </w:rPr>
      </w:pPr>
      <w:r w:rsidRPr="00B14FC0">
        <w:rPr>
          <w:rFonts w:ascii="Barlow Medium" w:hAnsi="Barlow Medium" w:cs="Arial"/>
          <w:sz w:val="20"/>
          <w:szCs w:val="20"/>
          <w:lang w:val="es-MX"/>
        </w:rPr>
        <w:t>Fuente: Elaboración propia.</w:t>
      </w:r>
    </w:p>
    <w:p w:rsidR="004850C2" w:rsidRDefault="004850C2" w:rsidP="004850C2">
      <w:pPr>
        <w:autoSpaceDE w:val="0"/>
        <w:autoSpaceDN w:val="0"/>
        <w:adjustRightInd w:val="0"/>
        <w:jc w:val="center"/>
        <w:rPr>
          <w:rFonts w:ascii="Barlow Medium" w:hAnsi="Barlow Medium" w:cs="Arial"/>
          <w:b/>
          <w:color w:val="000000"/>
        </w:rPr>
      </w:pPr>
    </w:p>
    <w:bookmarkEnd w:id="0"/>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 xml:space="preserve">Los resultados del análisis de la inversión con enfoque a los derechos concluyen que en 2019 en el Estado el </w:t>
      </w:r>
      <w:r>
        <w:rPr>
          <w:rFonts w:ascii="Barlow Medium" w:hAnsi="Barlow Medium" w:cs="Arial"/>
        </w:rPr>
        <w:t xml:space="preserve">68.44% </w:t>
      </w:r>
      <w:r>
        <w:rPr>
          <w:rFonts w:ascii="Barlow Medium" w:hAnsi="Barlow Medium" w:cs="Arial"/>
          <w:color w:val="000000"/>
        </w:rPr>
        <w:t>de la inversión está destinada al Derecho al Desarrollo y un 30.6% destinado al Derecho a la Supervivencia (Ver Gráfica 2).</w:t>
      </w: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Gráfica 2. Inversión en Infancia por Derecho</w:t>
      </w:r>
    </w:p>
    <w:p w:rsidR="004850C2" w:rsidRDefault="004850C2" w:rsidP="004850C2">
      <w:pPr>
        <w:autoSpaceDE w:val="0"/>
        <w:autoSpaceDN w:val="0"/>
        <w:adjustRightInd w:val="0"/>
        <w:jc w:val="center"/>
        <w:rPr>
          <w:rFonts w:ascii="Barlow Medium" w:hAnsi="Barlow Medium" w:cs="Arial"/>
          <w:b/>
          <w:color w:val="000000"/>
          <w:sz w:val="20"/>
          <w:szCs w:val="20"/>
        </w:rPr>
      </w:pPr>
      <w:r>
        <w:rPr>
          <w:noProof/>
          <w:lang w:val="es-MX" w:eastAsia="es-MX"/>
        </w:rPr>
        <w:lastRenderedPageBreak/>
        <w:drawing>
          <wp:inline distT="0" distB="0" distL="0" distR="0">
            <wp:extent cx="3971925" cy="2428875"/>
            <wp:effectExtent l="0" t="0" r="15875" b="952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850C2" w:rsidRPr="00B14FC0" w:rsidRDefault="004850C2" w:rsidP="004850C2">
      <w:pPr>
        <w:pStyle w:val="Prrafodelista"/>
        <w:spacing w:after="0" w:line="240" w:lineRule="auto"/>
        <w:ind w:left="0"/>
        <w:jc w:val="center"/>
        <w:rPr>
          <w:rFonts w:ascii="Barlow Medium" w:hAnsi="Barlow Medium" w:cs="Arial"/>
          <w:sz w:val="20"/>
          <w:szCs w:val="20"/>
          <w:lang w:val="es-MX"/>
        </w:rPr>
      </w:pPr>
      <w:r w:rsidRPr="00B14FC0">
        <w:rPr>
          <w:rFonts w:ascii="Barlow Medium" w:hAnsi="Barlow Medium" w:cs="Arial"/>
          <w:sz w:val="20"/>
          <w:szCs w:val="20"/>
          <w:lang w:val="es-MX"/>
        </w:rPr>
        <w:t>Fuente: Elaboración propia.</w:t>
      </w:r>
    </w:p>
    <w:p w:rsidR="004850C2" w:rsidRDefault="004850C2" w:rsidP="004850C2">
      <w:pPr>
        <w:autoSpaceDE w:val="0"/>
        <w:autoSpaceDN w:val="0"/>
        <w:adjustRightInd w:val="0"/>
        <w:jc w:val="center"/>
        <w:rPr>
          <w:rFonts w:ascii="Barlow Medium" w:hAnsi="Barlow Medium" w:cs="Arial"/>
          <w:b/>
          <w:color w:val="000000"/>
        </w:rPr>
      </w:pP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A continuación se presenta la distribución de la inversión para cada uno de los temas específicos considerados en el análisis de los derechos.</w:t>
      </w: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2. Inversión en Infancia por Derecho y Temática</w:t>
      </w:r>
    </w:p>
    <w:tbl>
      <w:tblPr>
        <w:tblW w:w="9020" w:type="dxa"/>
        <w:jc w:val="center"/>
        <w:tblCellMar>
          <w:left w:w="70" w:type="dxa"/>
          <w:right w:w="70" w:type="dxa"/>
        </w:tblCellMar>
        <w:tblLook w:val="04A0"/>
      </w:tblPr>
      <w:tblGrid>
        <w:gridCol w:w="3170"/>
        <w:gridCol w:w="2997"/>
        <w:gridCol w:w="1633"/>
        <w:gridCol w:w="1220"/>
      </w:tblGrid>
      <w:tr w:rsidR="004850C2" w:rsidTr="004850C2">
        <w:trPr>
          <w:trHeight w:val="580"/>
          <w:jc w:val="center"/>
        </w:trPr>
        <w:tc>
          <w:tcPr>
            <w:tcW w:w="6167" w:type="dxa"/>
            <w:gridSpan w:val="2"/>
            <w:tcBorders>
              <w:top w:val="single" w:sz="4" w:space="0" w:color="auto"/>
              <w:left w:val="single" w:sz="4" w:space="0" w:color="auto"/>
              <w:bottom w:val="nil"/>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Derechos de la Infancia/ Temática</w:t>
            </w:r>
          </w:p>
        </w:tc>
        <w:tc>
          <w:tcPr>
            <w:tcW w:w="1633" w:type="dxa"/>
            <w:tcBorders>
              <w:top w:val="single" w:sz="4" w:space="0" w:color="auto"/>
              <w:left w:val="nil"/>
              <w:bottom w:val="nil"/>
              <w:right w:val="nil"/>
            </w:tcBorders>
            <w:shd w:val="clear" w:color="auto" w:fill="16365C"/>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 xml:space="preserve">Monto </w:t>
            </w:r>
            <w:r>
              <w:rPr>
                <w:rFonts w:ascii="Barlow Medium" w:eastAsia="Times New Roman" w:hAnsi="Barlow Medium" w:cs="Calibri"/>
                <w:b/>
                <w:bCs/>
                <w:color w:val="FFFFFF"/>
                <w:sz w:val="20"/>
                <w:szCs w:val="20"/>
              </w:rPr>
              <w:br/>
              <w:t>(pesos)</w:t>
            </w:r>
          </w:p>
        </w:tc>
        <w:tc>
          <w:tcPr>
            <w:tcW w:w="1220" w:type="dxa"/>
            <w:tcBorders>
              <w:top w:val="single" w:sz="4" w:space="0" w:color="auto"/>
              <w:left w:val="nil"/>
              <w:bottom w:val="nil"/>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Porcentaje</w:t>
            </w:r>
          </w:p>
        </w:tc>
      </w:tr>
      <w:tr w:rsidR="004850C2" w:rsidTr="004850C2">
        <w:trPr>
          <w:trHeight w:val="290"/>
          <w:jc w:val="center"/>
        </w:trPr>
        <w:tc>
          <w:tcPr>
            <w:tcW w:w="6167" w:type="dxa"/>
            <w:gridSpan w:val="2"/>
            <w:tcBorders>
              <w:top w:val="nil"/>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1 - Derecho a la Supervivencia</w:t>
            </w:r>
          </w:p>
        </w:tc>
        <w:tc>
          <w:tcPr>
            <w:tcW w:w="1633" w:type="dxa"/>
            <w:tcBorders>
              <w:top w:val="nil"/>
              <w:left w:val="nil"/>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4,013,714,520 </w:t>
            </w:r>
          </w:p>
        </w:tc>
        <w:tc>
          <w:tcPr>
            <w:tcW w:w="1220" w:type="dxa"/>
            <w:tcBorders>
              <w:top w:val="nil"/>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30.60%</w:t>
            </w: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1 - Salud</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3,462,321,497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eastAsiaTheme="minorHAnsi"/>
                <w:sz w:val="20"/>
                <w:szCs w:val="20"/>
                <w:lang w:eastAsia="es-ES_tradnl"/>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2 - Vivienda e infraestructura</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141,457,576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eastAsiaTheme="minorHAnsi"/>
                <w:sz w:val="20"/>
                <w:szCs w:val="20"/>
                <w:lang w:eastAsia="es-ES_tradnl"/>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3 - Alimentación y Nutrición</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268,193,083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eastAsiaTheme="minorHAnsi"/>
                <w:sz w:val="20"/>
                <w:szCs w:val="20"/>
                <w:lang w:eastAsia="es-ES_tradnl"/>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4 - Asistencia Social</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141,742,364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2 - Derecho al Desarrollo</w:t>
            </w:r>
          </w:p>
        </w:tc>
        <w:tc>
          <w:tcPr>
            <w:tcW w:w="2997" w:type="dxa"/>
            <w:tcBorders>
              <w:top w:val="dotted" w:sz="4" w:space="0" w:color="auto"/>
              <w:left w:val="nil"/>
              <w:bottom w:val="dotted" w:sz="4" w:space="0" w:color="auto"/>
              <w:right w:val="nil"/>
            </w:tcBorders>
            <w:shd w:val="clear" w:color="auto" w:fill="D9D9D9" w:themeFill="background1" w:themeFillShade="D9"/>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ourier New"/>
                <w:color w:val="000000"/>
                <w:sz w:val="20"/>
                <w:szCs w:val="20"/>
              </w:rPr>
              <w:t> </w:t>
            </w:r>
          </w:p>
        </w:tc>
        <w:tc>
          <w:tcPr>
            <w:tcW w:w="1633" w:type="dxa"/>
            <w:tcBorders>
              <w:top w:val="dotted" w:sz="4" w:space="0" w:color="auto"/>
              <w:left w:val="nil"/>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8,977,590,425 </w:t>
            </w:r>
          </w:p>
        </w:tc>
        <w:tc>
          <w:tcPr>
            <w:tcW w:w="1220" w:type="dxa"/>
            <w:tcBorders>
              <w:top w:val="dotted" w:sz="4" w:space="0" w:color="auto"/>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68.44%</w:t>
            </w:r>
          </w:p>
        </w:tc>
      </w:tr>
      <w:tr w:rsidR="004850C2" w:rsidTr="004850C2">
        <w:trPr>
          <w:trHeight w:val="58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5 - Educación</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8,778,718,977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eastAsiaTheme="minorHAnsi"/>
                <w:sz w:val="20"/>
                <w:szCs w:val="20"/>
                <w:lang w:eastAsia="es-ES_tradnl"/>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6 - Deportes, cultura y recreación</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198,871,448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3 - Derecho a la Protección</w:t>
            </w:r>
          </w:p>
        </w:tc>
        <w:tc>
          <w:tcPr>
            <w:tcW w:w="2997" w:type="dxa"/>
            <w:tcBorders>
              <w:top w:val="dotted" w:sz="4" w:space="0" w:color="auto"/>
              <w:left w:val="nil"/>
              <w:bottom w:val="dotted" w:sz="4" w:space="0" w:color="auto"/>
              <w:right w:val="nil"/>
            </w:tcBorders>
            <w:shd w:val="clear" w:color="auto" w:fill="D9D9D9" w:themeFill="background1" w:themeFillShade="D9"/>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ourier New"/>
                <w:color w:val="000000"/>
                <w:sz w:val="20"/>
                <w:szCs w:val="20"/>
              </w:rPr>
              <w:t> </w:t>
            </w:r>
          </w:p>
        </w:tc>
        <w:tc>
          <w:tcPr>
            <w:tcW w:w="1633" w:type="dxa"/>
            <w:tcBorders>
              <w:top w:val="dotted" w:sz="4" w:space="0" w:color="auto"/>
              <w:left w:val="nil"/>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119,547,246 </w:t>
            </w:r>
          </w:p>
        </w:tc>
        <w:tc>
          <w:tcPr>
            <w:tcW w:w="1220" w:type="dxa"/>
            <w:tcBorders>
              <w:top w:val="dotted" w:sz="4" w:space="0" w:color="auto"/>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0.91%</w:t>
            </w:r>
          </w:p>
        </w:tc>
      </w:tr>
      <w:tr w:rsidR="004850C2" w:rsidTr="004850C2">
        <w:trPr>
          <w:trHeight w:val="58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8 - Seguridad Legal</w:t>
            </w:r>
          </w:p>
        </w:tc>
        <w:tc>
          <w:tcPr>
            <w:tcW w:w="1633" w:type="dxa"/>
            <w:tcBorders>
              <w:top w:val="dotted" w:sz="4" w:space="0" w:color="auto"/>
              <w:left w:val="nil"/>
              <w:bottom w:val="dotted" w:sz="4" w:space="0" w:color="auto"/>
              <w:right w:val="nil"/>
            </w:tcBorders>
            <w:noWrap/>
            <w:vAlign w:val="bottom"/>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104,399,754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eastAsiaTheme="minorHAnsi"/>
                <w:sz w:val="20"/>
                <w:szCs w:val="20"/>
                <w:lang w:eastAsia="es-ES_tradnl"/>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9 - Discriminación</w:t>
            </w:r>
          </w:p>
        </w:tc>
        <w:tc>
          <w:tcPr>
            <w:tcW w:w="1633" w:type="dxa"/>
            <w:tcBorders>
              <w:top w:val="dotted" w:sz="4" w:space="0" w:color="auto"/>
              <w:left w:val="nil"/>
              <w:bottom w:val="dotted" w:sz="4" w:space="0" w:color="auto"/>
              <w:right w:val="nil"/>
            </w:tcBorders>
            <w:noWrap/>
            <w:vAlign w:val="bottom"/>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4,490,950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6167" w:type="dxa"/>
            <w:gridSpan w:val="2"/>
            <w:tcBorders>
              <w:top w:val="dotted" w:sz="4" w:space="0" w:color="auto"/>
              <w:left w:val="single" w:sz="4" w:space="0" w:color="auto"/>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4 - Derecho a la Participación</w:t>
            </w:r>
          </w:p>
        </w:tc>
        <w:tc>
          <w:tcPr>
            <w:tcW w:w="1633" w:type="dxa"/>
            <w:tcBorders>
              <w:top w:val="dotted" w:sz="4" w:space="0" w:color="auto"/>
              <w:left w:val="nil"/>
              <w:bottom w:val="dotted" w:sz="4" w:space="0" w:color="auto"/>
              <w:right w:val="nil"/>
            </w:tcBorders>
            <w:shd w:val="clear" w:color="auto" w:fill="D9D9D9" w:themeFill="background1" w:themeFillShade="D9"/>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5,674,980 </w:t>
            </w:r>
          </w:p>
        </w:tc>
        <w:tc>
          <w:tcPr>
            <w:tcW w:w="1220" w:type="dxa"/>
            <w:tcBorders>
              <w:top w:val="dotted" w:sz="4" w:space="0" w:color="auto"/>
              <w:left w:val="nil"/>
              <w:bottom w:val="dotted" w:sz="4" w:space="0" w:color="auto"/>
              <w:right w:val="single" w:sz="4" w:space="0" w:color="auto"/>
            </w:tcBorders>
            <w:shd w:val="clear" w:color="auto" w:fill="D9D9D9" w:themeFill="background1" w:themeFillShade="D9"/>
            <w:noWrap/>
            <w:vAlign w:val="center"/>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0.04%</w:t>
            </w:r>
          </w:p>
        </w:tc>
      </w:tr>
      <w:tr w:rsidR="004850C2" w:rsidTr="004850C2">
        <w:trPr>
          <w:trHeight w:val="290"/>
          <w:jc w:val="center"/>
        </w:trPr>
        <w:tc>
          <w:tcPr>
            <w:tcW w:w="317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p>
        </w:tc>
        <w:tc>
          <w:tcPr>
            <w:tcW w:w="2997" w:type="dxa"/>
            <w:tcBorders>
              <w:top w:val="dotted" w:sz="4" w:space="0" w:color="auto"/>
              <w:left w:val="nil"/>
              <w:bottom w:val="dotted" w:sz="4" w:space="0" w:color="auto"/>
              <w:right w:val="nil"/>
            </w:tcBorders>
            <w:vAlign w:val="center"/>
            <w:hideMark/>
          </w:tcPr>
          <w:p w:rsidR="004850C2" w:rsidRDefault="004850C2">
            <w:pPr>
              <w:jc w:val="right"/>
              <w:rPr>
                <w:rFonts w:ascii="Barlow Medium" w:eastAsia="Times New Roman" w:hAnsi="Barlow Medium" w:cs="Calibri"/>
                <w:color w:val="000000"/>
                <w:sz w:val="20"/>
                <w:szCs w:val="20"/>
                <w:lang w:eastAsia="es-MX"/>
              </w:rPr>
            </w:pPr>
            <w:r>
              <w:rPr>
                <w:rFonts w:ascii="Barlow Medium" w:eastAsia="Times New Roman" w:hAnsi="Barlow Medium" w:cs="Calibri"/>
                <w:color w:val="000000"/>
                <w:sz w:val="20"/>
                <w:szCs w:val="20"/>
              </w:rPr>
              <w:t>10 - Información</w:t>
            </w:r>
          </w:p>
        </w:tc>
        <w:tc>
          <w:tcPr>
            <w:tcW w:w="1633" w:type="dxa"/>
            <w:tcBorders>
              <w:top w:val="dotted" w:sz="4" w:space="0" w:color="auto"/>
              <w:left w:val="nil"/>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5,674,980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rPr>
                <w:rFonts w:ascii="Barlow Medium" w:eastAsia="Times New Roman" w:hAnsi="Barlow Medium" w:cs="Calibri"/>
                <w:color w:val="000000"/>
                <w:sz w:val="20"/>
                <w:szCs w:val="20"/>
              </w:rPr>
            </w:pPr>
          </w:p>
        </w:tc>
      </w:tr>
      <w:tr w:rsidR="004850C2" w:rsidTr="004850C2">
        <w:trPr>
          <w:trHeight w:val="290"/>
          <w:jc w:val="center"/>
        </w:trPr>
        <w:tc>
          <w:tcPr>
            <w:tcW w:w="3170" w:type="dxa"/>
            <w:tcBorders>
              <w:top w:val="dotted" w:sz="4" w:space="0" w:color="auto"/>
              <w:left w:val="single" w:sz="4" w:space="0" w:color="auto"/>
              <w:bottom w:val="single"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lang w:eastAsia="es-MX"/>
              </w:rPr>
            </w:pPr>
            <w:r>
              <w:rPr>
                <w:rFonts w:ascii="Barlow Medium" w:eastAsia="Times New Roman" w:hAnsi="Barlow Medium" w:cs="Calibri"/>
                <w:b/>
                <w:bCs/>
                <w:color w:val="FFFFFF"/>
                <w:sz w:val="20"/>
                <w:szCs w:val="20"/>
              </w:rPr>
              <w:t>Total general</w:t>
            </w:r>
          </w:p>
        </w:tc>
        <w:tc>
          <w:tcPr>
            <w:tcW w:w="2997" w:type="dxa"/>
            <w:tcBorders>
              <w:top w:val="dotted" w:sz="4" w:space="0" w:color="auto"/>
              <w:left w:val="nil"/>
              <w:bottom w:val="single" w:sz="4" w:space="0" w:color="auto"/>
              <w:right w:val="nil"/>
            </w:tcBorders>
            <w:shd w:val="clear" w:color="auto" w:fill="16365C"/>
            <w:vAlign w:val="center"/>
            <w:hideMark/>
          </w:tcPr>
          <w:p w:rsidR="004850C2" w:rsidRDefault="004850C2">
            <w:pPr>
              <w:rPr>
                <w:rFonts w:ascii="Barlow Medium" w:eastAsia="Times New Roman" w:hAnsi="Barlow Medium" w:cs="Calibri"/>
                <w:b/>
                <w:bCs/>
                <w:color w:val="FFFFFF"/>
                <w:sz w:val="20"/>
                <w:szCs w:val="20"/>
              </w:rPr>
            </w:pPr>
            <w:r>
              <w:rPr>
                <w:rFonts w:ascii="Barlow Medium" w:eastAsia="Times New Roman" w:hAnsi="Barlow Medium" w:cs="Courier New"/>
                <w:b/>
                <w:bCs/>
                <w:color w:val="FFFFFF"/>
                <w:sz w:val="20"/>
                <w:szCs w:val="20"/>
              </w:rPr>
              <w:t> </w:t>
            </w:r>
          </w:p>
        </w:tc>
        <w:tc>
          <w:tcPr>
            <w:tcW w:w="1633" w:type="dxa"/>
            <w:tcBorders>
              <w:top w:val="dotted" w:sz="4" w:space="0" w:color="auto"/>
              <w:left w:val="nil"/>
              <w:bottom w:val="single"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 xml:space="preserve">   13,116,527,171 </w:t>
            </w:r>
          </w:p>
        </w:tc>
        <w:tc>
          <w:tcPr>
            <w:tcW w:w="1220" w:type="dxa"/>
            <w:tcBorders>
              <w:top w:val="dotted" w:sz="4" w:space="0" w:color="auto"/>
              <w:left w:val="nil"/>
              <w:bottom w:val="single" w:sz="4" w:space="0" w:color="auto"/>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100%</w:t>
            </w:r>
          </w:p>
        </w:tc>
      </w:tr>
    </w:tbl>
    <w:p w:rsidR="004850C2" w:rsidRDefault="004850C2" w:rsidP="004850C2">
      <w:pPr>
        <w:autoSpaceDE w:val="0"/>
        <w:autoSpaceDN w:val="0"/>
        <w:adjustRightInd w:val="0"/>
        <w:jc w:val="center"/>
        <w:rPr>
          <w:rFonts w:ascii="Barlow Medium" w:hAnsi="Barlow Medium" w:cs="Arial"/>
          <w:color w:val="000000"/>
          <w:sz w:val="20"/>
          <w:szCs w:val="20"/>
          <w:lang w:eastAsia="es-MX"/>
        </w:rPr>
      </w:pPr>
      <w:r>
        <w:rPr>
          <w:rFonts w:ascii="Barlow Medium" w:hAnsi="Barlow Medium" w:cs="Arial"/>
          <w:sz w:val="20"/>
          <w:szCs w:val="20"/>
        </w:rPr>
        <w:t>Fuente: Elaboración propia.</w:t>
      </w:r>
    </w:p>
    <w:p w:rsidR="004850C2" w:rsidRDefault="004850C2" w:rsidP="004850C2">
      <w:pPr>
        <w:autoSpaceDE w:val="0"/>
        <w:autoSpaceDN w:val="0"/>
        <w:adjustRightInd w:val="0"/>
        <w:jc w:val="both"/>
        <w:rPr>
          <w:rFonts w:ascii="Barlow Medium" w:hAnsi="Barlow Medium" w:cs="Arial"/>
          <w:color w:val="000000"/>
        </w:rPr>
      </w:pP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 xml:space="preserve">El análisis de la especificidad de la inversión permite conocer el grado de focalización de la inversión en infancia. En este sentido, se observa que en Yucatán, el 89.23% se destina a </w:t>
      </w:r>
      <w:r>
        <w:rPr>
          <w:rFonts w:ascii="Barlow Medium" w:hAnsi="Barlow Medium" w:cs="Arial"/>
          <w:color w:val="000000"/>
        </w:rPr>
        <w:lastRenderedPageBreak/>
        <w:t>inversión agéntica; en segundo lugar a inversión específica con un 5.24%, seguido de inversión ampliada con 3.08% y, por último en bienes públicos con 2.45% (Tabla 3).</w:t>
      </w:r>
    </w:p>
    <w:p w:rsidR="004850C2" w:rsidRDefault="004850C2" w:rsidP="004850C2">
      <w:pPr>
        <w:autoSpaceDE w:val="0"/>
        <w:autoSpaceDN w:val="0"/>
        <w:adjustRightInd w:val="0"/>
        <w:jc w:val="both"/>
        <w:rPr>
          <w:rFonts w:ascii="Barlow Medium" w:hAnsi="Barlow Medium" w:cs="Arial"/>
          <w:color w:val="000000"/>
        </w:rPr>
      </w:pP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3. Especificidad de la inversión en Infancia</w:t>
      </w:r>
    </w:p>
    <w:tbl>
      <w:tblPr>
        <w:tblW w:w="6020" w:type="dxa"/>
        <w:jc w:val="center"/>
        <w:tblBorders>
          <w:top w:val="single" w:sz="4" w:space="0" w:color="auto"/>
          <w:left w:val="single" w:sz="4" w:space="0" w:color="auto"/>
          <w:bottom w:val="single" w:sz="4" w:space="0" w:color="auto"/>
          <w:right w:val="single" w:sz="4" w:space="0" w:color="auto"/>
          <w:insideH w:val="dotted" w:sz="4" w:space="0" w:color="auto"/>
        </w:tblBorders>
        <w:tblCellMar>
          <w:left w:w="70" w:type="dxa"/>
          <w:right w:w="70" w:type="dxa"/>
        </w:tblCellMar>
        <w:tblLook w:val="04A0"/>
      </w:tblPr>
      <w:tblGrid>
        <w:gridCol w:w="3060"/>
        <w:gridCol w:w="1740"/>
        <w:gridCol w:w="1220"/>
      </w:tblGrid>
      <w:tr w:rsidR="004850C2" w:rsidTr="004850C2">
        <w:trPr>
          <w:trHeight w:val="454"/>
          <w:jc w:val="center"/>
        </w:trPr>
        <w:tc>
          <w:tcPr>
            <w:tcW w:w="3060" w:type="dxa"/>
            <w:tcBorders>
              <w:top w:val="single" w:sz="4" w:space="0" w:color="auto"/>
              <w:left w:val="single" w:sz="4" w:space="0" w:color="auto"/>
              <w:bottom w:val="dotted"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2"/>
              </w:rPr>
            </w:pPr>
            <w:r>
              <w:rPr>
                <w:rFonts w:ascii="Barlow Medium" w:eastAsia="Times New Roman" w:hAnsi="Barlow Medium" w:cs="Calibri"/>
                <w:b/>
                <w:bCs/>
                <w:color w:val="FFFFFF"/>
                <w:sz w:val="20"/>
              </w:rPr>
              <w:t>Especificidad de la Inversión</w:t>
            </w:r>
          </w:p>
        </w:tc>
        <w:tc>
          <w:tcPr>
            <w:tcW w:w="1740" w:type="dxa"/>
            <w:tcBorders>
              <w:top w:val="single" w:sz="4" w:space="0" w:color="auto"/>
              <w:left w:val="nil"/>
              <w:bottom w:val="dotted" w:sz="4" w:space="0" w:color="auto"/>
              <w:right w:val="nil"/>
            </w:tcBorders>
            <w:shd w:val="clear" w:color="auto" w:fill="16365C"/>
            <w:vAlign w:val="center"/>
            <w:hideMark/>
          </w:tcPr>
          <w:p w:rsidR="004850C2" w:rsidRDefault="004850C2">
            <w:pPr>
              <w:jc w:val="center"/>
              <w:rPr>
                <w:rFonts w:ascii="Barlow Medium" w:eastAsia="Times New Roman" w:hAnsi="Barlow Medium" w:cs="Calibri"/>
                <w:b/>
                <w:bCs/>
                <w:color w:val="FFFFFF"/>
                <w:sz w:val="20"/>
              </w:rPr>
            </w:pPr>
            <w:r>
              <w:rPr>
                <w:rFonts w:ascii="Barlow Medium" w:eastAsia="Times New Roman" w:hAnsi="Barlow Medium" w:cs="Calibri"/>
                <w:b/>
                <w:bCs/>
                <w:color w:val="FFFFFF"/>
                <w:sz w:val="20"/>
              </w:rPr>
              <w:t xml:space="preserve">Monto </w:t>
            </w:r>
            <w:r>
              <w:rPr>
                <w:rFonts w:ascii="Barlow Medium" w:eastAsia="Times New Roman" w:hAnsi="Barlow Medium" w:cs="Calibri"/>
                <w:b/>
                <w:bCs/>
                <w:color w:val="FFFFFF"/>
                <w:sz w:val="20"/>
              </w:rPr>
              <w:br/>
              <w:t>(pesos)</w:t>
            </w:r>
          </w:p>
        </w:tc>
        <w:tc>
          <w:tcPr>
            <w:tcW w:w="1220" w:type="dxa"/>
            <w:tcBorders>
              <w:top w:val="single" w:sz="4" w:space="0" w:color="auto"/>
              <w:left w:val="nil"/>
              <w:bottom w:val="dotted" w:sz="4" w:space="0" w:color="auto"/>
              <w:right w:val="single" w:sz="4" w:space="0" w:color="auto"/>
            </w:tcBorders>
            <w:shd w:val="clear" w:color="auto" w:fill="16365C"/>
            <w:vAlign w:val="center"/>
            <w:hideMark/>
          </w:tcPr>
          <w:p w:rsidR="004850C2" w:rsidRDefault="004850C2">
            <w:pPr>
              <w:jc w:val="center"/>
              <w:rPr>
                <w:rFonts w:ascii="Barlow Medium" w:eastAsia="Times New Roman" w:hAnsi="Barlow Medium" w:cs="Calibri"/>
                <w:b/>
                <w:bCs/>
                <w:color w:val="FFFFFF"/>
                <w:sz w:val="20"/>
              </w:rPr>
            </w:pPr>
            <w:r>
              <w:rPr>
                <w:rFonts w:ascii="Barlow Medium" w:eastAsia="Times New Roman" w:hAnsi="Barlow Medium" w:cs="Calibri"/>
                <w:b/>
                <w:bCs/>
                <w:color w:val="FFFFFF"/>
                <w:sz w:val="20"/>
              </w:rPr>
              <w:t>Porcentaje</w:t>
            </w:r>
          </w:p>
        </w:tc>
      </w:tr>
      <w:tr w:rsidR="004850C2" w:rsidTr="004850C2">
        <w:trPr>
          <w:trHeight w:val="454"/>
          <w:jc w:val="center"/>
        </w:trPr>
        <w:tc>
          <w:tcPr>
            <w:tcW w:w="306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rPr>
            </w:pPr>
            <w:r>
              <w:rPr>
                <w:rFonts w:ascii="Barlow Medium" w:eastAsia="Times New Roman" w:hAnsi="Barlow Medium" w:cs="Calibri"/>
                <w:color w:val="000000"/>
                <w:sz w:val="20"/>
              </w:rPr>
              <w:t>1 - Específico</w:t>
            </w:r>
          </w:p>
        </w:tc>
        <w:tc>
          <w:tcPr>
            <w:tcW w:w="1740" w:type="dxa"/>
            <w:tcBorders>
              <w:top w:val="dotted" w:sz="4" w:space="0" w:color="auto"/>
              <w:left w:val="nil"/>
              <w:bottom w:val="dotted" w:sz="4" w:space="0" w:color="auto"/>
              <w:right w:val="nil"/>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 xml:space="preserve">      687,839,084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5.24%</w:t>
            </w:r>
          </w:p>
        </w:tc>
      </w:tr>
      <w:tr w:rsidR="004850C2" w:rsidTr="004850C2">
        <w:trPr>
          <w:trHeight w:val="454"/>
          <w:jc w:val="center"/>
        </w:trPr>
        <w:tc>
          <w:tcPr>
            <w:tcW w:w="306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rPr>
            </w:pPr>
            <w:r>
              <w:rPr>
                <w:rFonts w:ascii="Barlow Medium" w:eastAsia="Times New Roman" w:hAnsi="Barlow Medium" w:cs="Calibri"/>
                <w:color w:val="000000"/>
                <w:sz w:val="20"/>
              </w:rPr>
              <w:t>2 - Agéntico (indirecto)</w:t>
            </w:r>
          </w:p>
        </w:tc>
        <w:tc>
          <w:tcPr>
            <w:tcW w:w="1740" w:type="dxa"/>
            <w:tcBorders>
              <w:top w:val="dotted" w:sz="4" w:space="0" w:color="auto"/>
              <w:left w:val="nil"/>
              <w:bottom w:val="dotted" w:sz="4" w:space="0" w:color="auto"/>
              <w:right w:val="nil"/>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 xml:space="preserve">   11,703,530,170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89.23%</w:t>
            </w:r>
          </w:p>
        </w:tc>
      </w:tr>
      <w:tr w:rsidR="004850C2" w:rsidTr="004850C2">
        <w:trPr>
          <w:trHeight w:val="454"/>
          <w:jc w:val="center"/>
        </w:trPr>
        <w:tc>
          <w:tcPr>
            <w:tcW w:w="306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rPr>
            </w:pPr>
            <w:r>
              <w:rPr>
                <w:rFonts w:ascii="Barlow Medium" w:eastAsia="Times New Roman" w:hAnsi="Barlow Medium" w:cs="Calibri"/>
                <w:color w:val="000000"/>
                <w:sz w:val="20"/>
              </w:rPr>
              <w:t>3 - Ampliado</w:t>
            </w:r>
          </w:p>
        </w:tc>
        <w:tc>
          <w:tcPr>
            <w:tcW w:w="1740" w:type="dxa"/>
            <w:tcBorders>
              <w:top w:val="dotted" w:sz="4" w:space="0" w:color="auto"/>
              <w:left w:val="nil"/>
              <w:bottom w:val="dotted" w:sz="4" w:space="0" w:color="auto"/>
              <w:right w:val="nil"/>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 xml:space="preserve">      404,430,348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3.08%</w:t>
            </w:r>
          </w:p>
        </w:tc>
      </w:tr>
      <w:tr w:rsidR="004850C2" w:rsidTr="004850C2">
        <w:trPr>
          <w:trHeight w:val="454"/>
          <w:jc w:val="center"/>
        </w:trPr>
        <w:tc>
          <w:tcPr>
            <w:tcW w:w="3060"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rPr>
            </w:pPr>
            <w:r>
              <w:rPr>
                <w:rFonts w:ascii="Barlow Medium" w:eastAsia="Times New Roman" w:hAnsi="Barlow Medium" w:cs="Calibri"/>
                <w:color w:val="000000"/>
                <w:sz w:val="20"/>
              </w:rPr>
              <w:t>4 - En Bienes Públicos</w:t>
            </w:r>
          </w:p>
        </w:tc>
        <w:tc>
          <w:tcPr>
            <w:tcW w:w="1740" w:type="dxa"/>
            <w:tcBorders>
              <w:top w:val="dotted" w:sz="4" w:space="0" w:color="auto"/>
              <w:left w:val="nil"/>
              <w:bottom w:val="dotted" w:sz="4" w:space="0" w:color="auto"/>
              <w:right w:val="nil"/>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 xml:space="preserve">       320,727,569 </w:t>
            </w:r>
          </w:p>
        </w:tc>
        <w:tc>
          <w:tcPr>
            <w:tcW w:w="1220" w:type="dxa"/>
            <w:tcBorders>
              <w:top w:val="dotted" w:sz="4" w:space="0" w:color="auto"/>
              <w:left w:val="nil"/>
              <w:bottom w:val="dotted" w:sz="4" w:space="0" w:color="auto"/>
              <w:right w:val="single" w:sz="4" w:space="0" w:color="auto"/>
            </w:tcBorders>
            <w:noWrap/>
            <w:vAlign w:val="center"/>
            <w:hideMark/>
          </w:tcPr>
          <w:p w:rsidR="004850C2" w:rsidRDefault="004850C2">
            <w:pPr>
              <w:jc w:val="right"/>
              <w:rPr>
                <w:rFonts w:ascii="Barlow Medium" w:eastAsia="Times New Roman" w:hAnsi="Barlow Medium" w:cs="Calibri"/>
                <w:color w:val="000000"/>
                <w:sz w:val="20"/>
              </w:rPr>
            </w:pPr>
            <w:r>
              <w:rPr>
                <w:rFonts w:ascii="Barlow Medium" w:eastAsia="Times New Roman" w:hAnsi="Barlow Medium" w:cs="Calibri"/>
                <w:color w:val="000000"/>
                <w:sz w:val="20"/>
              </w:rPr>
              <w:t>2.45%</w:t>
            </w:r>
          </w:p>
        </w:tc>
      </w:tr>
      <w:tr w:rsidR="004850C2" w:rsidTr="004850C2">
        <w:trPr>
          <w:trHeight w:val="454"/>
          <w:jc w:val="center"/>
        </w:trPr>
        <w:tc>
          <w:tcPr>
            <w:tcW w:w="3060" w:type="dxa"/>
            <w:tcBorders>
              <w:top w:val="dotted" w:sz="4" w:space="0" w:color="auto"/>
              <w:left w:val="single" w:sz="4" w:space="0" w:color="auto"/>
              <w:bottom w:val="single"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rPr>
            </w:pPr>
            <w:r>
              <w:rPr>
                <w:rFonts w:ascii="Barlow Medium" w:eastAsia="Times New Roman" w:hAnsi="Barlow Medium" w:cs="Calibri"/>
                <w:b/>
                <w:bCs/>
                <w:color w:val="FFFFFF"/>
                <w:sz w:val="20"/>
              </w:rPr>
              <w:t>Total general</w:t>
            </w:r>
          </w:p>
        </w:tc>
        <w:tc>
          <w:tcPr>
            <w:tcW w:w="1740" w:type="dxa"/>
            <w:tcBorders>
              <w:top w:val="dotted" w:sz="4" w:space="0" w:color="auto"/>
              <w:left w:val="nil"/>
              <w:bottom w:val="single"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rPr>
            </w:pPr>
            <w:r>
              <w:rPr>
                <w:rFonts w:ascii="Barlow Medium" w:eastAsia="Times New Roman" w:hAnsi="Barlow Medium" w:cs="Calibri"/>
                <w:b/>
                <w:bCs/>
                <w:color w:val="FFFFFF"/>
                <w:sz w:val="20"/>
              </w:rPr>
              <w:t>13,116,527,171</w:t>
            </w:r>
          </w:p>
        </w:tc>
        <w:tc>
          <w:tcPr>
            <w:tcW w:w="1220" w:type="dxa"/>
            <w:tcBorders>
              <w:top w:val="dotted" w:sz="4" w:space="0" w:color="auto"/>
              <w:left w:val="nil"/>
              <w:bottom w:val="single" w:sz="4" w:space="0" w:color="auto"/>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rPr>
            </w:pPr>
            <w:r>
              <w:rPr>
                <w:rFonts w:ascii="Barlow Medium" w:eastAsia="Times New Roman" w:hAnsi="Barlow Medium" w:cs="Calibri"/>
                <w:b/>
                <w:bCs/>
                <w:color w:val="FFFFFF"/>
                <w:sz w:val="20"/>
              </w:rPr>
              <w:t>100%</w:t>
            </w:r>
          </w:p>
        </w:tc>
      </w:tr>
    </w:tbl>
    <w:p w:rsidR="004850C2" w:rsidRDefault="004850C2" w:rsidP="004850C2">
      <w:pPr>
        <w:autoSpaceDE w:val="0"/>
        <w:autoSpaceDN w:val="0"/>
        <w:adjustRightInd w:val="0"/>
        <w:jc w:val="center"/>
        <w:rPr>
          <w:rFonts w:ascii="Barlow Medium" w:hAnsi="Barlow Medium" w:cs="Arial"/>
          <w:color w:val="000000"/>
          <w:sz w:val="20"/>
          <w:szCs w:val="20"/>
          <w:lang w:eastAsia="es-MX"/>
        </w:rPr>
      </w:pPr>
      <w:r>
        <w:rPr>
          <w:rFonts w:ascii="Barlow Medium" w:hAnsi="Barlow Medium" w:cs="Arial"/>
          <w:sz w:val="20"/>
          <w:szCs w:val="20"/>
        </w:rPr>
        <w:t>Fuente: Elaboración propia.</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Asimismo, el total de la inversión destinada para niños, niñas y adolescentes en el Estado para el 2019, está asignada en 50 Programas Presupuestarios, ejecutados por 25 instituciones de la Administración Pública Estatal (Tabla 4).</w:t>
      </w:r>
    </w:p>
    <w:p w:rsidR="004850C2" w:rsidRDefault="004850C2" w:rsidP="004850C2">
      <w:pPr>
        <w:autoSpaceDE w:val="0"/>
        <w:autoSpaceDN w:val="0"/>
        <w:adjustRightInd w:val="0"/>
        <w:jc w:val="both"/>
        <w:rPr>
          <w:rFonts w:ascii="Barlow Medium" w:hAnsi="Barlow Medium" w:cs="Arial"/>
          <w:color w:val="000000"/>
        </w:rPr>
      </w:pP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4. Programas Presupuestarios</w:t>
      </w:r>
    </w:p>
    <w:tbl>
      <w:tblPr>
        <w:tblStyle w:val="Listaclara"/>
        <w:tblW w:w="8620" w:type="dxa"/>
        <w:jc w:val="center"/>
        <w:tblInd w:w="0" w:type="dxa"/>
        <w:tblBorders>
          <w:top w:val="single" w:sz="4" w:space="0" w:color="auto"/>
          <w:left w:val="single" w:sz="4" w:space="0" w:color="auto"/>
          <w:bottom w:val="single" w:sz="4" w:space="0" w:color="auto"/>
          <w:right w:val="single" w:sz="4" w:space="0" w:color="auto"/>
          <w:insideH w:val="dotted" w:sz="4" w:space="0" w:color="auto"/>
        </w:tblBorders>
        <w:tblLook w:val="04A0"/>
      </w:tblPr>
      <w:tblGrid>
        <w:gridCol w:w="542"/>
        <w:gridCol w:w="6432"/>
        <w:gridCol w:w="1740"/>
      </w:tblGrid>
      <w:tr w:rsidR="004850C2" w:rsidTr="004850C2">
        <w:trPr>
          <w:cnfStyle w:val="100000000000"/>
          <w:trHeight w:val="620"/>
          <w:tblHeader/>
          <w:jc w:val="center"/>
        </w:trPr>
        <w:tc>
          <w:tcPr>
            <w:cnfStyle w:val="001000000000"/>
            <w:tcW w:w="6880" w:type="dxa"/>
            <w:gridSpan w:val="2"/>
            <w:tcBorders>
              <w:top w:val="single" w:sz="4" w:space="0" w:color="auto"/>
              <w:left w:val="single" w:sz="4" w:space="0" w:color="auto"/>
              <w:bottom w:val="dotted" w:sz="4" w:space="0" w:color="auto"/>
              <w:right w:val="nil"/>
            </w:tcBorders>
            <w:vAlign w:val="center"/>
            <w:hideMark/>
          </w:tcPr>
          <w:p w:rsidR="004850C2" w:rsidRDefault="004850C2">
            <w:pPr>
              <w:jc w:val="center"/>
              <w:rPr>
                <w:rFonts w:ascii="Barlow Medium" w:eastAsia="Times New Roman" w:hAnsi="Barlow Medium" w:cs="Calibri"/>
                <w:color w:val="FFFFFF"/>
                <w:sz w:val="20"/>
                <w:szCs w:val="20"/>
              </w:rPr>
            </w:pPr>
            <w:r>
              <w:rPr>
                <w:rFonts w:ascii="Barlow Medium" w:eastAsia="Times New Roman" w:hAnsi="Barlow Medium" w:cs="Calibri"/>
                <w:color w:val="FFFFFF"/>
                <w:sz w:val="20"/>
                <w:szCs w:val="20"/>
              </w:rPr>
              <w:t>Programas Presupuestarios</w:t>
            </w:r>
          </w:p>
        </w:tc>
        <w:tc>
          <w:tcPr>
            <w:tcW w:w="1740" w:type="dxa"/>
            <w:tcBorders>
              <w:top w:val="single" w:sz="4" w:space="0" w:color="auto"/>
              <w:left w:val="nil"/>
              <w:bottom w:val="dotted" w:sz="4" w:space="0" w:color="auto"/>
              <w:right w:val="single" w:sz="4" w:space="0" w:color="auto"/>
            </w:tcBorders>
            <w:vAlign w:val="center"/>
            <w:hideMark/>
          </w:tcPr>
          <w:p w:rsidR="004850C2" w:rsidRDefault="004850C2">
            <w:pPr>
              <w:jc w:val="center"/>
              <w:cnfStyle w:val="100000000000"/>
              <w:rPr>
                <w:rFonts w:ascii="Barlow Medium" w:eastAsia="Times New Roman" w:hAnsi="Barlow Medium" w:cs="Calibri"/>
                <w:color w:val="FFFFFF"/>
                <w:sz w:val="20"/>
                <w:szCs w:val="20"/>
              </w:rPr>
            </w:pPr>
            <w:r>
              <w:rPr>
                <w:rFonts w:ascii="Barlow Medium" w:eastAsia="Times New Roman" w:hAnsi="Barlow Medium" w:cs="Calibri"/>
                <w:color w:val="FFFFFF"/>
                <w:sz w:val="20"/>
                <w:szCs w:val="20"/>
              </w:rPr>
              <w:t>Monto (pesos)</w:t>
            </w:r>
          </w:p>
        </w:tc>
      </w:tr>
      <w:tr w:rsidR="004850C2" w:rsidTr="004850C2">
        <w:trPr>
          <w:cnfStyle w:val="000000100000"/>
          <w:trHeight w:val="58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16</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Programa Integral de Aplicación de Medidas de Tratamiento para los Adolescentes</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25,402,544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25</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Prevención Social del Delito</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4,950,818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43</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Construcción, Ampliación y Mejoramiento de Vivienda</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89,326,188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44</w:t>
            </w:r>
          </w:p>
        </w:tc>
        <w:tc>
          <w:tcPr>
            <w:tcW w:w="6432" w:type="dxa"/>
            <w:tcBorders>
              <w:top w:val="dotted" w:sz="4" w:space="0" w:color="auto"/>
              <w:bottom w:val="dotted" w:sz="4" w:space="0" w:color="auto"/>
            </w:tcBorders>
            <w:noWrap/>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Carencia por Acceso a Servicios Básicos en la Vivienda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52,131,388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45</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Servicios de Salud a la Comunidad</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3,942,904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47</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Salud Mental</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14,743,671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48</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Fortalecimiento a la Atención Médica</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972,470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52</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Salud Reproductiva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151,006,912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53</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Salud Infantil</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75,665,397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60</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Activación Física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35,286,518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61</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Alto Rendimiento</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52,616,788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63</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Fomento y Promoción de la Cultura y las Artes</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12,922,694 </w:t>
            </w:r>
          </w:p>
        </w:tc>
      </w:tr>
      <w:tr w:rsidR="004850C2" w:rsidTr="004850C2">
        <w:trPr>
          <w:cnfStyle w:val="000000100000"/>
          <w:trHeight w:val="58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64</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Fomento y Promoción del Hábito a la Lectura y la Producción Literaria y Editorial</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1,960,000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65</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Fomento a la Educación Artística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822,400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68</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Cobertura con Equidad en Educación Básica</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7,364,765,283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70</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Eficiencia Terminal en Educación Básica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71,627,138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71</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Cobertura en Educación Media Superior</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269,865,947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78</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Rezago Educativo</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43,979,644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lastRenderedPageBreak/>
              <w:t>80</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Carencia por Acceso a la Alimentación</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262,167,111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84</w:t>
            </w:r>
          </w:p>
        </w:tc>
        <w:tc>
          <w:tcPr>
            <w:tcW w:w="6432" w:type="dxa"/>
            <w:tcBorders>
              <w:top w:val="dotted" w:sz="4" w:space="0" w:color="auto"/>
              <w:bottom w:val="dotted" w:sz="4" w:space="0" w:color="auto"/>
            </w:tcBorders>
            <w:noWrap/>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Prevención y Atención a Mujeres en situación de violencia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60,266,506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85</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Cohesión Social</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11,733,725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86</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Línea Mínima de Bienestar</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80,715,333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87</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Sujetos en Condición de Vulnerabilidad</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21,390,330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88</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a Personas con Discapacidad</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51,702,644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89</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Integral al Menor en Desamparo</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39,740,630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90</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en Salud a Personas Sujetas a Asistencia Social</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878,250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91</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al Desarrollo Infantil</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35,943,500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98</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Fomento al Empleo</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3,600,000 </w:t>
            </w:r>
          </w:p>
        </w:tc>
      </w:tr>
      <w:tr w:rsidR="004850C2" w:rsidTr="004850C2">
        <w:trPr>
          <w:cnfStyle w:val="000000100000"/>
          <w:trHeight w:val="58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110</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Formación de Capital Humano para la Economía del Conocimiento</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1,500,000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121</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Sistema de Justicia Penal</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10,000,141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151</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Integral para el Desarrollo Metropolitano</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14,724,130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182</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Comunicación Social e Información</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3,138,986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186</w:t>
            </w:r>
          </w:p>
        </w:tc>
        <w:tc>
          <w:tcPr>
            <w:tcW w:w="6432" w:type="dxa"/>
            <w:tcBorders>
              <w:top w:val="dotted" w:sz="4" w:space="0" w:color="auto"/>
              <w:left w:val="nil"/>
              <w:bottom w:val="dotted" w:sz="4" w:space="0" w:color="auto"/>
              <w:right w:val="nil"/>
            </w:tcBorders>
            <w:noWrap/>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Conservación de los Recursos Naturales</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11,550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195</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Protección contra Riesgos Sanitarios</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1,425,480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198</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Programa Integral Protégete</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44,516,907 </w:t>
            </w:r>
          </w:p>
        </w:tc>
      </w:tr>
      <w:tr w:rsidR="004850C2" w:rsidTr="004850C2">
        <w:trPr>
          <w:trHeight w:val="58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201</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Administración y Control de los Recursos Humanos, Financieros y Materiales del Hospital de la Amistad</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7,019,999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207</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Operación de Unidades Deportivas</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44,582,478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208</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Eventos Recreativos</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45,046,024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215</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Escolar</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121,163,881 </w:t>
            </w:r>
          </w:p>
        </w:tc>
      </w:tr>
      <w:tr w:rsidR="004850C2" w:rsidTr="004850C2">
        <w:trPr>
          <w:trHeight w:val="58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218</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Cobertura de los Servicios de Educación Profesional Técnica/CONALEP</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119,842,034 </w:t>
            </w:r>
          </w:p>
        </w:tc>
      </w:tr>
      <w:tr w:rsidR="004850C2" w:rsidTr="004850C2">
        <w:trPr>
          <w:cnfStyle w:val="000000100000"/>
          <w:trHeight w:val="58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219</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Fortalecimiento de la Calidad Educativa en Educación Media Superior del CECYTEY</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119,445,246 </w:t>
            </w:r>
          </w:p>
        </w:tc>
      </w:tr>
      <w:tr w:rsidR="004850C2" w:rsidTr="004850C2">
        <w:trPr>
          <w:trHeight w:val="58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220</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de Alumnos del Nivel Medio Superior del Colegio de Bachilleres del Estado de Yucatán</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40,972,104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233</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Institucional</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26,793,406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234</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Gestión Pedagógica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49,311,223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248</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Programa Administrativo del COBAY</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380,728,274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249</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Servicios y Prestaciones</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62,182,198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254</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Mejoramiento de la Administración del Dif Yucatán</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17,922,582 </w:t>
            </w:r>
          </w:p>
        </w:tc>
      </w:tr>
      <w:tr w:rsidR="004850C2" w:rsidTr="004850C2">
        <w:trPr>
          <w:trHeight w:val="29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289</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Integral a las Mujeres Víctimas de Violencia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893,766 </w:t>
            </w:r>
          </w:p>
        </w:tc>
      </w:tr>
      <w:tr w:rsidR="004850C2" w:rsidTr="004850C2">
        <w:trPr>
          <w:cnfStyle w:val="000000100000"/>
          <w:trHeight w:val="290"/>
          <w:jc w:val="center"/>
        </w:trPr>
        <w:tc>
          <w:tcPr>
            <w:cnfStyle w:val="001000000000"/>
            <w:tcW w:w="448" w:type="dxa"/>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298</w:t>
            </w:r>
          </w:p>
        </w:tc>
        <w:tc>
          <w:tcPr>
            <w:tcW w:w="6432" w:type="dxa"/>
            <w:tcBorders>
              <w:top w:val="dotted" w:sz="4" w:space="0" w:color="auto"/>
              <w:left w:val="nil"/>
              <w:bottom w:val="dotted" w:sz="4" w:space="0" w:color="auto"/>
              <w:right w:val="nil"/>
            </w:tcBorders>
            <w:vAlign w:val="center"/>
            <w:hideMark/>
          </w:tcPr>
          <w:p w:rsidR="004850C2" w:rsidRDefault="004850C2">
            <w:pPr>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Obesidad</w:t>
            </w:r>
          </w:p>
        </w:tc>
        <w:tc>
          <w:tcPr>
            <w:tcW w:w="1740" w:type="dxa"/>
            <w:tcBorders>
              <w:top w:val="dotted" w:sz="4" w:space="0" w:color="auto"/>
              <w:left w:val="nil"/>
              <w:bottom w:val="dotted" w:sz="4" w:space="0" w:color="auto"/>
              <w:right w:val="single" w:sz="4" w:space="0" w:color="auto"/>
            </w:tcBorders>
            <w:noWrap/>
            <w:vAlign w:val="center"/>
            <w:hideMark/>
          </w:tcPr>
          <w:p w:rsidR="004850C2" w:rsidRDefault="004850C2">
            <w:pPr>
              <w:jc w:val="right"/>
              <w:cnfStyle w:val="0000001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1,776,244 </w:t>
            </w:r>
          </w:p>
        </w:tc>
      </w:tr>
      <w:tr w:rsidR="004850C2" w:rsidTr="004850C2">
        <w:trPr>
          <w:trHeight w:val="300"/>
          <w:jc w:val="center"/>
        </w:trPr>
        <w:tc>
          <w:tcPr>
            <w:cnfStyle w:val="001000000000"/>
            <w:tcW w:w="448" w:type="dxa"/>
            <w:tcBorders>
              <w:top w:val="dotted" w:sz="4" w:space="0" w:color="auto"/>
              <w:left w:val="single" w:sz="4" w:space="0" w:color="auto"/>
              <w:bottom w:val="dotted" w:sz="4" w:space="0" w:color="auto"/>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315</w:t>
            </w:r>
          </w:p>
        </w:tc>
        <w:tc>
          <w:tcPr>
            <w:tcW w:w="6432" w:type="dxa"/>
            <w:tcBorders>
              <w:top w:val="dotted" w:sz="4" w:space="0" w:color="auto"/>
              <w:bottom w:val="dotted" w:sz="4" w:space="0" w:color="auto"/>
            </w:tcBorders>
            <w:vAlign w:val="center"/>
            <w:hideMark/>
          </w:tcPr>
          <w:p w:rsidR="004850C2" w:rsidRDefault="004850C2">
            <w:pPr>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Atención Médica</w:t>
            </w:r>
          </w:p>
        </w:tc>
        <w:tc>
          <w:tcPr>
            <w:tcW w:w="1740" w:type="dxa"/>
            <w:tcBorders>
              <w:top w:val="dotted" w:sz="4" w:space="0" w:color="auto"/>
              <w:bottom w:val="dotted" w:sz="4" w:space="0" w:color="auto"/>
              <w:right w:val="single" w:sz="4" w:space="0" w:color="auto"/>
            </w:tcBorders>
            <w:noWrap/>
            <w:vAlign w:val="center"/>
            <w:hideMark/>
          </w:tcPr>
          <w:p w:rsidR="004850C2" w:rsidRDefault="004850C2">
            <w:pPr>
              <w:jc w:val="right"/>
              <w:cnfStyle w:val="000000000000"/>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3,163,403,785 </w:t>
            </w:r>
          </w:p>
        </w:tc>
      </w:tr>
      <w:tr w:rsidR="004850C2" w:rsidTr="004850C2">
        <w:trPr>
          <w:cnfStyle w:val="000000100000"/>
          <w:trHeight w:val="475"/>
          <w:jc w:val="center"/>
        </w:trPr>
        <w:tc>
          <w:tcPr>
            <w:cnfStyle w:val="001000000000"/>
            <w:tcW w:w="6880" w:type="dxa"/>
            <w:gridSpan w:val="2"/>
            <w:tcBorders>
              <w:top w:val="dotted" w:sz="4" w:space="0" w:color="auto"/>
              <w:left w:val="single" w:sz="4" w:space="0" w:color="auto"/>
              <w:bottom w:val="single" w:sz="4" w:space="0" w:color="auto"/>
              <w:right w:val="nil"/>
            </w:tcBorders>
            <w:shd w:val="clear" w:color="auto" w:fill="16365C"/>
            <w:vAlign w:val="center"/>
            <w:hideMark/>
          </w:tcPr>
          <w:p w:rsidR="004850C2" w:rsidRDefault="004850C2">
            <w:pPr>
              <w:jc w:val="center"/>
              <w:rPr>
                <w:rFonts w:ascii="Barlow Medium" w:eastAsia="Times New Roman" w:hAnsi="Barlow Medium" w:cs="Calibri"/>
                <w:color w:val="FFFFFF" w:themeColor="background1"/>
                <w:sz w:val="20"/>
                <w:szCs w:val="20"/>
              </w:rPr>
            </w:pPr>
            <w:r>
              <w:rPr>
                <w:rFonts w:ascii="Barlow Medium" w:eastAsia="Times New Roman" w:hAnsi="Barlow Medium" w:cs="Calibri"/>
                <w:color w:val="FFFFFF" w:themeColor="background1"/>
                <w:sz w:val="20"/>
                <w:szCs w:val="20"/>
              </w:rPr>
              <w:t>Total general</w:t>
            </w:r>
          </w:p>
        </w:tc>
        <w:tc>
          <w:tcPr>
            <w:tcW w:w="1740" w:type="dxa"/>
            <w:tcBorders>
              <w:top w:val="dotted" w:sz="4" w:space="0" w:color="auto"/>
              <w:left w:val="nil"/>
              <w:bottom w:val="single" w:sz="4" w:space="0" w:color="auto"/>
              <w:right w:val="single" w:sz="4" w:space="0" w:color="auto"/>
            </w:tcBorders>
            <w:shd w:val="clear" w:color="auto" w:fill="16365C"/>
            <w:noWrap/>
            <w:vAlign w:val="center"/>
            <w:hideMark/>
          </w:tcPr>
          <w:p w:rsidR="004850C2" w:rsidRDefault="004850C2">
            <w:pPr>
              <w:jc w:val="right"/>
              <w:cnfStyle w:val="000000100000"/>
              <w:rPr>
                <w:rFonts w:ascii="Barlow Medium" w:eastAsia="Times New Roman" w:hAnsi="Barlow Medium" w:cs="Calibri"/>
                <w:b/>
                <w:bCs/>
                <w:color w:val="FFFFFF" w:themeColor="background1"/>
                <w:sz w:val="20"/>
                <w:szCs w:val="20"/>
              </w:rPr>
            </w:pPr>
            <w:r>
              <w:rPr>
                <w:rFonts w:ascii="Barlow Medium" w:eastAsia="Times New Roman" w:hAnsi="Barlow Medium" w:cs="Calibri"/>
                <w:b/>
                <w:bCs/>
                <w:color w:val="FFFFFF" w:themeColor="background1"/>
                <w:sz w:val="20"/>
                <w:szCs w:val="20"/>
              </w:rPr>
              <w:t xml:space="preserve">   13,116,527,171 </w:t>
            </w:r>
          </w:p>
        </w:tc>
      </w:tr>
    </w:tbl>
    <w:p w:rsidR="004850C2" w:rsidRDefault="004850C2" w:rsidP="004850C2">
      <w:pPr>
        <w:autoSpaceDE w:val="0"/>
        <w:autoSpaceDN w:val="0"/>
        <w:adjustRightInd w:val="0"/>
        <w:jc w:val="center"/>
        <w:rPr>
          <w:rFonts w:ascii="Barlow Medium" w:hAnsi="Barlow Medium" w:cs="Arial"/>
          <w:color w:val="000000"/>
          <w:sz w:val="20"/>
          <w:szCs w:val="20"/>
          <w:lang w:eastAsia="es-MX"/>
        </w:rPr>
      </w:pPr>
      <w:r>
        <w:rPr>
          <w:rFonts w:ascii="Barlow Medium" w:hAnsi="Barlow Medium" w:cs="Arial"/>
          <w:sz w:val="20"/>
          <w:szCs w:val="20"/>
        </w:rPr>
        <w:lastRenderedPageBreak/>
        <w:t>Fuente: Elaboración propia.</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 xml:space="preserve">La atención de los objetivos de desarrollo sostenible es una prioridad para la administración pública estatal. Los proyectos y programas que se ejecutan en el Estado contribuyen al cumplimiento de 11 de los 17 Objetivos de Desarrollo Sostenible, de los cuales los que cuentan con mayor presupuesto asignado son el </w:t>
      </w:r>
      <w:r>
        <w:rPr>
          <w:rFonts w:ascii="Barlow Medium" w:hAnsi="Barlow Medium" w:cs="Arial"/>
          <w:i/>
          <w:color w:val="000000"/>
        </w:rPr>
        <w:t>objetivo 4.</w:t>
      </w:r>
      <w:r>
        <w:rPr>
          <w:rFonts w:ascii="Barlow Medium" w:hAnsi="Barlow Medium" w:cs="Arial"/>
          <w:color w:val="000000"/>
        </w:rPr>
        <w:t xml:space="preserve"> </w:t>
      </w:r>
      <w:r>
        <w:rPr>
          <w:rFonts w:ascii="Barlow Medium" w:hAnsi="Barlow Medium" w:cs="Arial"/>
          <w:i/>
          <w:color w:val="000000"/>
        </w:rPr>
        <w:t>Garantizar una educación inclusiva, equitativa y de calidad y promover oportunidades de aprendizaje durante toda la vida para todos</w:t>
      </w:r>
      <w:r>
        <w:rPr>
          <w:rFonts w:ascii="Barlow Medium" w:hAnsi="Barlow Medium" w:cs="Arial"/>
          <w:color w:val="000000"/>
        </w:rPr>
        <w:t xml:space="preserve">, el cual representa el 67.21% de la inversión en infancia y adolescencia; en segundo lugar el </w:t>
      </w:r>
      <w:r>
        <w:rPr>
          <w:rFonts w:ascii="Barlow Medium" w:hAnsi="Barlow Medium" w:cs="Arial"/>
          <w:i/>
          <w:color w:val="000000"/>
        </w:rPr>
        <w:t>objetivo 3.</w:t>
      </w:r>
      <w:r>
        <w:rPr>
          <w:rFonts w:ascii="Barlow Medium" w:hAnsi="Barlow Medium" w:cs="Arial"/>
          <w:color w:val="000000"/>
        </w:rPr>
        <w:t xml:space="preserve"> </w:t>
      </w:r>
      <w:r>
        <w:rPr>
          <w:rFonts w:ascii="Barlow Medium" w:hAnsi="Barlow Medium" w:cs="Arial"/>
          <w:i/>
          <w:color w:val="000000"/>
        </w:rPr>
        <w:t>Garantizar una vida sana y promover el bienestar para todos en todas las edades</w:t>
      </w:r>
      <w:r>
        <w:rPr>
          <w:rFonts w:ascii="Barlow Medium" w:hAnsi="Barlow Medium" w:cs="Arial"/>
          <w:color w:val="000000"/>
        </w:rPr>
        <w:t xml:space="preserve"> y en tercer lugar, </w:t>
      </w:r>
      <w:r>
        <w:rPr>
          <w:rFonts w:ascii="Barlow Medium" w:hAnsi="Barlow Medium" w:cs="Arial"/>
          <w:i/>
          <w:color w:val="000000"/>
        </w:rPr>
        <w:t>el objetivo 2. Poner fin al hambre, lograr la seguridad alimentaria y la mejora de la nutrición y promover la agricultura sostenible</w:t>
      </w:r>
      <w:r>
        <w:rPr>
          <w:rFonts w:ascii="Barlow Medium" w:hAnsi="Barlow Medium" w:cs="Arial"/>
          <w:color w:val="000000"/>
        </w:rPr>
        <w:t xml:space="preserve">. </w:t>
      </w:r>
    </w:p>
    <w:p w:rsidR="004850C2" w:rsidRDefault="004850C2" w:rsidP="004850C2">
      <w:pPr>
        <w:autoSpaceDE w:val="0"/>
        <w:autoSpaceDN w:val="0"/>
        <w:adjustRightInd w:val="0"/>
        <w:jc w:val="both"/>
        <w:rPr>
          <w:rFonts w:ascii="Barlow Medium" w:hAnsi="Barlow Medium" w:cs="Arial"/>
          <w:color w:val="000000"/>
        </w:rPr>
      </w:pPr>
      <w:r>
        <w:rPr>
          <w:rFonts w:ascii="Barlow Medium" w:hAnsi="Barlow Medium" w:cs="Arial"/>
          <w:color w:val="000000"/>
        </w:rPr>
        <w:t>A continuación se muestra la inversión para cada uno de los 10 objetivos de desarrollo sostenible en la siguiente tabla.</w:t>
      </w:r>
    </w:p>
    <w:p w:rsidR="004850C2" w:rsidRDefault="004850C2" w:rsidP="004850C2">
      <w:pPr>
        <w:autoSpaceDE w:val="0"/>
        <w:autoSpaceDN w:val="0"/>
        <w:adjustRightInd w:val="0"/>
        <w:jc w:val="center"/>
        <w:rPr>
          <w:rFonts w:ascii="Barlow Medium" w:hAnsi="Barlow Medium" w:cs="Arial"/>
          <w:b/>
          <w:color w:val="000000"/>
          <w:sz w:val="20"/>
          <w:szCs w:val="20"/>
        </w:rPr>
      </w:pPr>
      <w:r>
        <w:rPr>
          <w:rFonts w:ascii="Barlow Medium" w:hAnsi="Barlow Medium" w:cs="Arial"/>
          <w:b/>
          <w:color w:val="000000"/>
          <w:sz w:val="20"/>
          <w:szCs w:val="20"/>
        </w:rPr>
        <w:t>Tabla 5. Inversión en Infancia y Adolescencia y ODS</w:t>
      </w:r>
    </w:p>
    <w:tbl>
      <w:tblPr>
        <w:tblW w:w="0" w:type="auto"/>
        <w:tblInd w:w="55" w:type="dxa"/>
        <w:tblBorders>
          <w:top w:val="single" w:sz="4" w:space="0" w:color="auto"/>
          <w:left w:val="single" w:sz="4" w:space="0" w:color="auto"/>
          <w:bottom w:val="single" w:sz="4" w:space="0" w:color="auto"/>
          <w:right w:val="single" w:sz="4" w:space="0" w:color="auto"/>
          <w:insideH w:val="dotted" w:sz="4" w:space="0" w:color="auto"/>
        </w:tblBorders>
        <w:tblCellMar>
          <w:left w:w="70" w:type="dxa"/>
          <w:right w:w="70" w:type="dxa"/>
        </w:tblCellMar>
        <w:tblLook w:val="04A0"/>
      </w:tblPr>
      <w:tblGrid>
        <w:gridCol w:w="8380"/>
        <w:gridCol w:w="1609"/>
      </w:tblGrid>
      <w:tr w:rsidR="004850C2" w:rsidTr="004850C2">
        <w:trPr>
          <w:trHeight w:val="633"/>
        </w:trPr>
        <w:tc>
          <w:tcPr>
            <w:tcW w:w="0" w:type="auto"/>
            <w:tcBorders>
              <w:top w:val="single" w:sz="4" w:space="0" w:color="auto"/>
              <w:left w:val="single" w:sz="4" w:space="0" w:color="auto"/>
              <w:bottom w:val="dotted" w:sz="4" w:space="0" w:color="auto"/>
              <w:right w:val="nil"/>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Objetivos de Desarrollo Sostenible</w:t>
            </w:r>
          </w:p>
        </w:tc>
        <w:tc>
          <w:tcPr>
            <w:tcW w:w="0" w:type="auto"/>
            <w:tcBorders>
              <w:top w:val="single" w:sz="4" w:space="0" w:color="auto"/>
              <w:left w:val="nil"/>
              <w:bottom w:val="dotted" w:sz="4" w:space="0" w:color="auto"/>
              <w:right w:val="single" w:sz="4" w:space="0" w:color="auto"/>
            </w:tcBorders>
            <w:shd w:val="clear" w:color="auto" w:fill="16365C"/>
            <w:noWrap/>
            <w:vAlign w:val="center"/>
            <w:hideMark/>
          </w:tcPr>
          <w:p w:rsidR="004850C2" w:rsidRDefault="004850C2">
            <w:pPr>
              <w:jc w:val="center"/>
              <w:rPr>
                <w:rFonts w:ascii="Barlow Medium" w:eastAsia="Times New Roman" w:hAnsi="Barlow Medium" w:cs="Calibri"/>
                <w:b/>
                <w:bCs/>
                <w:color w:val="FFFFFF"/>
                <w:sz w:val="20"/>
                <w:szCs w:val="20"/>
              </w:rPr>
            </w:pPr>
            <w:r>
              <w:rPr>
                <w:rFonts w:ascii="Barlow Medium" w:eastAsia="Times New Roman" w:hAnsi="Barlow Medium" w:cs="Calibri"/>
                <w:b/>
                <w:bCs/>
                <w:color w:val="FFFFFF"/>
                <w:sz w:val="20"/>
                <w:szCs w:val="20"/>
              </w:rPr>
              <w:t>Monto (pesos)</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1. Poner fin a la pobreza en todas sus formas en todo el mundo</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14,389,879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2. Poner fin al hambre, lograr la seguridad alimentaria y la mejora de la nutrición y promover la agricultura sostenible</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297,893,280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3. Garantizar una vida sana y promover el bienestar para todos en todas las edades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3,657,998,357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4. Garantizar una educación inclusiva, equitativa y de calidad y promover oportunidades de aprendizaje durante toda la vida para todos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8,761,592,327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5. Lograr la igualdad entre los géneros y empoderar a todas las mujeres y las niñas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1,120,778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6. Garantizar la disponibilidad de agua y su gestión sostenible y el saneamiento para todos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1,425,480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10. Reducir la desigualdad en y entre los países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101,506,468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11. Lograr que las ciudades y los asentamientos humanos sean inclusivos, seguros, resilientes y sostenibles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99,691,050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14. Conservar y utilizar en forma sostenible los océanos, los mares y los recursos marinos para el desarrollo sostenible</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11,550 </w:t>
            </w:r>
          </w:p>
        </w:tc>
      </w:tr>
      <w:tr w:rsidR="004850C2" w:rsidTr="004850C2">
        <w:trPr>
          <w:trHeight w:val="680"/>
        </w:trPr>
        <w:tc>
          <w:tcPr>
            <w:tcW w:w="0" w:type="auto"/>
            <w:tcBorders>
              <w:top w:val="dotted" w:sz="4" w:space="0" w:color="auto"/>
              <w:left w:val="single" w:sz="4" w:space="0" w:color="auto"/>
              <w:bottom w:val="dotted"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16. Promover sociedades pacíficas e inclusivas para el desarrollo sostenible, facilitar el acceso a la justicia para todos y crear instituciones eficaces, responsables e inclusivas a todos los niveles</w:t>
            </w:r>
          </w:p>
        </w:tc>
        <w:tc>
          <w:tcPr>
            <w:tcW w:w="0" w:type="auto"/>
            <w:tcBorders>
              <w:top w:val="dotted" w:sz="4" w:space="0" w:color="auto"/>
              <w:left w:val="nil"/>
              <w:bottom w:val="dotted"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85,444,772 </w:t>
            </w:r>
          </w:p>
        </w:tc>
      </w:tr>
      <w:tr w:rsidR="004850C2" w:rsidTr="004850C2">
        <w:trPr>
          <w:trHeight w:val="680"/>
        </w:trPr>
        <w:tc>
          <w:tcPr>
            <w:tcW w:w="0" w:type="auto"/>
            <w:tcBorders>
              <w:top w:val="dotted" w:sz="4" w:space="0" w:color="auto"/>
              <w:left w:val="single" w:sz="4" w:space="0" w:color="auto"/>
              <w:bottom w:val="single" w:sz="4" w:space="0" w:color="auto"/>
              <w:right w:val="nil"/>
            </w:tcBorders>
            <w:noWrap/>
            <w:vAlign w:val="center"/>
            <w:hideMark/>
          </w:tcPr>
          <w:p w:rsidR="004850C2" w:rsidRDefault="004850C2">
            <w:pPr>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Objetivo 8. Promover el crecimiento económico sostenido, inclusivo y sostenible, el empleo pleno y productivo y el trabajo decente para todos</w:t>
            </w:r>
          </w:p>
        </w:tc>
        <w:tc>
          <w:tcPr>
            <w:tcW w:w="0" w:type="auto"/>
            <w:tcBorders>
              <w:top w:val="dotted" w:sz="4" w:space="0" w:color="auto"/>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Calibri"/>
                <w:color w:val="000000"/>
                <w:sz w:val="20"/>
                <w:szCs w:val="20"/>
              </w:rPr>
            </w:pPr>
            <w:r>
              <w:rPr>
                <w:rFonts w:ascii="Barlow Medium" w:eastAsia="Times New Roman" w:hAnsi="Barlow Medium" w:cs="Calibri"/>
                <w:color w:val="000000"/>
                <w:sz w:val="20"/>
                <w:szCs w:val="20"/>
              </w:rPr>
              <w:t xml:space="preserve">                                                       3,600,000 </w:t>
            </w:r>
          </w:p>
        </w:tc>
      </w:tr>
    </w:tbl>
    <w:p w:rsidR="004850C2" w:rsidRDefault="004850C2" w:rsidP="004850C2">
      <w:pPr>
        <w:autoSpaceDE w:val="0"/>
        <w:autoSpaceDN w:val="0"/>
        <w:adjustRightInd w:val="0"/>
        <w:jc w:val="center"/>
        <w:rPr>
          <w:rFonts w:ascii="Barlow Medium" w:hAnsi="Barlow Medium" w:cs="Arial"/>
          <w:color w:val="000000"/>
          <w:sz w:val="20"/>
          <w:szCs w:val="20"/>
          <w:lang w:eastAsia="es-MX"/>
        </w:rPr>
      </w:pPr>
      <w:r>
        <w:rPr>
          <w:rFonts w:ascii="Barlow Medium" w:hAnsi="Barlow Medium" w:cs="Arial"/>
          <w:sz w:val="20"/>
          <w:szCs w:val="20"/>
        </w:rPr>
        <w:t>Fuente: Elaboración propia.</w:t>
      </w:r>
    </w:p>
    <w:p w:rsidR="004850C2" w:rsidRDefault="004850C2" w:rsidP="004850C2">
      <w:pPr>
        <w:autoSpaceDE w:val="0"/>
        <w:autoSpaceDN w:val="0"/>
        <w:adjustRightInd w:val="0"/>
        <w:jc w:val="both"/>
        <w:rPr>
          <w:rFonts w:ascii="Barlow Medium" w:hAnsi="Barlow Medium" w:cs="Arial"/>
          <w:color w:val="000000"/>
          <w:sz w:val="20"/>
          <w:szCs w:val="20"/>
        </w:rPr>
      </w:pPr>
    </w:p>
    <w:p w:rsidR="004850C2" w:rsidRDefault="004850C2" w:rsidP="004850C2">
      <w:pPr>
        <w:rPr>
          <w:rFonts w:ascii="Barlow Medium" w:hAnsi="Barlow Medium" w:cs="Arial"/>
        </w:rPr>
      </w:pPr>
      <w:r>
        <w:rPr>
          <w:rFonts w:ascii="Barlow Medium" w:hAnsi="Barlow Medium" w:cs="Arial"/>
        </w:rPr>
        <w:br w:type="page"/>
      </w:r>
    </w:p>
    <w:p w:rsidR="004850C2" w:rsidRDefault="004850C2" w:rsidP="004850C2">
      <w:pPr>
        <w:widowControl w:val="0"/>
        <w:jc w:val="center"/>
        <w:rPr>
          <w:rFonts w:ascii="Barlow" w:eastAsiaTheme="minorHAnsi" w:hAnsi="Barlow" w:cs="Arial"/>
          <w:lang w:eastAsia="en-US"/>
        </w:rPr>
      </w:pPr>
    </w:p>
    <w:p w:rsidR="004850C2" w:rsidRDefault="004850C2" w:rsidP="004850C2">
      <w:pPr>
        <w:widowControl w:val="0"/>
        <w:jc w:val="center"/>
        <w:rPr>
          <w:rFonts w:ascii="Barlow Medium" w:eastAsiaTheme="minorHAnsi" w:hAnsi="Barlow Medium"/>
          <w:lang w:eastAsia="en-US"/>
        </w:rPr>
      </w:pPr>
      <w:r>
        <w:rPr>
          <w:rFonts w:ascii="Barlow Medium" w:eastAsiaTheme="minorHAnsi" w:hAnsi="Barlow Medium"/>
          <w:b/>
          <w:bCs/>
          <w:lang w:eastAsia="en-US"/>
        </w:rPr>
        <w:t>Anexo 16c.</w:t>
      </w:r>
      <w:r>
        <w:rPr>
          <w:rFonts w:ascii="Barlow Medium" w:eastAsiaTheme="minorHAnsi" w:hAnsi="Barlow Medium"/>
          <w:lang w:eastAsia="en-US"/>
        </w:rPr>
        <w:t xml:space="preserve"> </w:t>
      </w:r>
      <w:r>
        <w:rPr>
          <w:rFonts w:ascii="Barlow Medium" w:eastAsiaTheme="minorHAnsi" w:hAnsi="Barlow Medium"/>
          <w:b/>
          <w:lang w:eastAsia="en-US"/>
        </w:rPr>
        <w:t>Anexo Presupuestario Transversal de Inversión para los Jóvenes</w:t>
      </w:r>
    </w:p>
    <w:p w:rsidR="004850C2" w:rsidRDefault="004850C2" w:rsidP="004850C2">
      <w:pPr>
        <w:widowControl w:val="0"/>
        <w:jc w:val="both"/>
        <w:rPr>
          <w:rFonts w:ascii="Barlow Medium" w:eastAsia="Arial" w:hAnsi="Barlow Medium" w:cs="Arial"/>
          <w:w w:val="103"/>
          <w:lang w:eastAsia="en-US"/>
        </w:rPr>
      </w:pPr>
      <w:r>
        <w:rPr>
          <w:rFonts w:ascii="Barlow Medium" w:eastAsiaTheme="minorHAnsi" w:hAnsi="Barlow Medium" w:cs="Arial"/>
          <w:b/>
          <w:lang w:eastAsia="en-US"/>
        </w:rPr>
        <w:t>Metodología</w:t>
      </w:r>
      <w:r>
        <w:rPr>
          <w:rFonts w:ascii="Barlow Medium" w:eastAsia="Arial" w:hAnsi="Barlow Medium" w:cs="Arial"/>
          <w:lang w:eastAsia="en-US"/>
        </w:rPr>
        <w:t xml:space="preserve"> </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Para la integración de este Anexo se realiza un análisis con base en las siguientes vertientes:</w:t>
      </w:r>
    </w:p>
    <w:p w:rsidR="004850C2" w:rsidRDefault="004850C2" w:rsidP="00E22205">
      <w:pPr>
        <w:widowControl w:val="0"/>
        <w:numPr>
          <w:ilvl w:val="0"/>
          <w:numId w:val="37"/>
        </w:numPr>
        <w:spacing w:after="200" w:line="276" w:lineRule="auto"/>
        <w:jc w:val="both"/>
        <w:rPr>
          <w:rFonts w:ascii="Barlow Medium" w:eastAsiaTheme="minorHAnsi" w:hAnsi="Barlow Medium" w:cs="Arial"/>
          <w:b/>
          <w:i/>
          <w:lang w:eastAsia="en-US"/>
        </w:rPr>
      </w:pPr>
      <w:r>
        <w:rPr>
          <w:rFonts w:ascii="Barlow Medium" w:eastAsiaTheme="minorHAnsi" w:hAnsi="Barlow Medium" w:cs="Arial"/>
          <w:b/>
          <w:i/>
          <w:lang w:eastAsia="en-US"/>
        </w:rPr>
        <w:t>Análisis de las Unidades Básicas de Presupuestación 2019</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 xml:space="preserve">Se identificaron por institución responsable las Unidades Básicas de Presupuestación (UBP), que son el instrumento de programación de corto plazo en el que se establece para un año fiscal los objetivos, las metas de producción, las actividades y el presupuesto destinado a producir los bienes, servicios o ayudas, las actividades institucionales o los servicios personales entregadas a la población juvenil. </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A partir de este ejercicio no se consideraron las UBP que contemplan los gastos generales de las oficinas tales como suministro de servicios básicos, arrendamientos entre otros, ya que no tienen impacto en la atención a los niños, niñas y adolescentes.</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 xml:space="preserve">Una vez identificadas las UBP que cuentan con inversión en jóvenes, se procede a clasificar de acuerdo a las temáticas que integran los derechos de los jóvenes y la especificidad de la inversión. </w:t>
      </w:r>
    </w:p>
    <w:p w:rsidR="004850C2" w:rsidRDefault="004850C2" w:rsidP="00E22205">
      <w:pPr>
        <w:widowControl w:val="0"/>
        <w:numPr>
          <w:ilvl w:val="0"/>
          <w:numId w:val="37"/>
        </w:numPr>
        <w:spacing w:after="200" w:line="276" w:lineRule="auto"/>
        <w:jc w:val="both"/>
        <w:rPr>
          <w:rFonts w:ascii="Barlow Medium" w:eastAsiaTheme="minorHAnsi" w:hAnsi="Barlow Medium" w:cs="Arial"/>
          <w:b/>
          <w:i/>
          <w:lang w:eastAsia="en-US"/>
        </w:rPr>
      </w:pPr>
      <w:r>
        <w:rPr>
          <w:rFonts w:ascii="Barlow Medium" w:eastAsiaTheme="minorHAnsi" w:hAnsi="Barlow Medium" w:cs="Arial"/>
          <w:b/>
          <w:i/>
          <w:lang w:eastAsia="en-US"/>
        </w:rPr>
        <w:t>Análisis basado en los derechos que reconoce la Convención Iberoamericana de los Derechos de los Jóvenes</w:t>
      </w:r>
      <w:r>
        <w:rPr>
          <w:rFonts w:ascii="Barlow Medium" w:eastAsia="Arial" w:hAnsi="Barlow Medium" w:cs="Arial"/>
          <w:spacing w:val="2"/>
          <w:vertAlign w:val="superscript"/>
          <w:lang w:eastAsia="en-US"/>
        </w:rPr>
        <w:footnoteReference w:id="6"/>
      </w:r>
      <w:r>
        <w:rPr>
          <w:rFonts w:ascii="Barlow Medium" w:eastAsiaTheme="minorHAnsi" w:hAnsi="Barlow Medium" w:cs="Arial"/>
          <w:b/>
          <w:i/>
          <w:lang w:eastAsia="en-US"/>
        </w:rPr>
        <w:t xml:space="preserve">. </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Para e</w:t>
      </w:r>
      <w:r>
        <w:rPr>
          <w:rFonts w:ascii="Barlow Medium" w:eastAsia="Arial" w:hAnsi="Barlow Medium" w:cs="Arial"/>
          <w:spacing w:val="-1"/>
          <w:lang w:eastAsia="en-US"/>
        </w:rPr>
        <w:t>s</w:t>
      </w:r>
      <w:r>
        <w:rPr>
          <w:rFonts w:ascii="Barlow Medium" w:eastAsia="Arial" w:hAnsi="Barlow Medium" w:cs="Arial"/>
          <w:spacing w:val="1"/>
          <w:lang w:eastAsia="en-US"/>
        </w:rPr>
        <w:t>t</w:t>
      </w:r>
      <w:r>
        <w:rPr>
          <w:rFonts w:ascii="Barlow Medium" w:eastAsia="Arial" w:hAnsi="Barlow Medium" w:cs="Arial"/>
          <w:lang w:eastAsia="en-US"/>
        </w:rPr>
        <w:t xml:space="preserve">e anexo </w:t>
      </w:r>
      <w:r>
        <w:rPr>
          <w:rFonts w:ascii="Barlow Medium" w:eastAsia="Arial" w:hAnsi="Barlow Medium" w:cs="Arial"/>
          <w:w w:val="103"/>
          <w:lang w:eastAsia="en-US"/>
        </w:rPr>
        <w:t xml:space="preserve">se </w:t>
      </w:r>
      <w:r>
        <w:rPr>
          <w:rFonts w:ascii="Barlow Medium" w:eastAsia="Arial" w:hAnsi="Barlow Medium" w:cs="Arial"/>
          <w:lang w:eastAsia="en-US"/>
        </w:rPr>
        <w:t>contem</w:t>
      </w:r>
      <w:r>
        <w:rPr>
          <w:rFonts w:ascii="Barlow Medium" w:eastAsia="Arial" w:hAnsi="Barlow Medium" w:cs="Arial"/>
          <w:spacing w:val="1"/>
          <w:lang w:eastAsia="en-US"/>
        </w:rPr>
        <w:t>p</w:t>
      </w:r>
      <w:r>
        <w:rPr>
          <w:rFonts w:ascii="Barlow Medium" w:eastAsia="Arial" w:hAnsi="Barlow Medium" w:cs="Arial"/>
          <w:spacing w:val="-2"/>
          <w:lang w:eastAsia="en-US"/>
        </w:rPr>
        <w:t>l</w:t>
      </w:r>
      <w:r>
        <w:rPr>
          <w:rFonts w:ascii="Barlow Medium" w:eastAsia="Arial" w:hAnsi="Barlow Medium" w:cs="Arial"/>
          <w:lang w:eastAsia="en-US"/>
        </w:rPr>
        <w:t>a</w:t>
      </w:r>
      <w:r>
        <w:rPr>
          <w:rFonts w:ascii="Barlow Medium" w:eastAsia="Arial" w:hAnsi="Barlow Medium" w:cs="Arial"/>
          <w:spacing w:val="39"/>
          <w:lang w:eastAsia="en-US"/>
        </w:rPr>
        <w:t xml:space="preserve"> </w:t>
      </w:r>
      <w:r>
        <w:rPr>
          <w:rFonts w:ascii="Barlow Medium" w:eastAsia="Arial" w:hAnsi="Barlow Medium" w:cs="Arial"/>
          <w:lang w:eastAsia="en-US"/>
        </w:rPr>
        <w:t>l</w:t>
      </w:r>
      <w:r>
        <w:rPr>
          <w:rFonts w:ascii="Barlow Medium" w:eastAsia="Arial" w:hAnsi="Barlow Medium" w:cs="Arial"/>
          <w:spacing w:val="-1"/>
          <w:lang w:eastAsia="en-US"/>
        </w:rPr>
        <w:t>a</w:t>
      </w:r>
      <w:r>
        <w:rPr>
          <w:rFonts w:ascii="Barlow Medium" w:eastAsia="Arial" w:hAnsi="Barlow Medium" w:cs="Arial"/>
          <w:lang w:eastAsia="en-US"/>
        </w:rPr>
        <w:t>s</w:t>
      </w:r>
      <w:r>
        <w:rPr>
          <w:rFonts w:ascii="Barlow Medium" w:eastAsia="Arial" w:hAnsi="Barlow Medium" w:cs="Arial"/>
          <w:spacing w:val="19"/>
          <w:lang w:eastAsia="en-US"/>
        </w:rPr>
        <w:t xml:space="preserve"> </w:t>
      </w:r>
      <w:r>
        <w:rPr>
          <w:rFonts w:ascii="Barlow Medium" w:eastAsia="Arial" w:hAnsi="Barlow Medium" w:cs="Arial"/>
          <w:lang w:eastAsia="en-US"/>
        </w:rPr>
        <w:t>pri</w:t>
      </w:r>
      <w:r>
        <w:rPr>
          <w:rFonts w:ascii="Barlow Medium" w:eastAsia="Arial" w:hAnsi="Barlow Medium" w:cs="Arial"/>
          <w:spacing w:val="1"/>
          <w:lang w:eastAsia="en-US"/>
        </w:rPr>
        <w:t>n</w:t>
      </w:r>
      <w:r>
        <w:rPr>
          <w:rFonts w:ascii="Barlow Medium" w:eastAsia="Arial" w:hAnsi="Barlow Medium" w:cs="Arial"/>
          <w:lang w:eastAsia="en-US"/>
        </w:rPr>
        <w:t>ci</w:t>
      </w:r>
      <w:r>
        <w:rPr>
          <w:rFonts w:ascii="Barlow Medium" w:eastAsia="Arial" w:hAnsi="Barlow Medium" w:cs="Arial"/>
          <w:spacing w:val="1"/>
          <w:lang w:eastAsia="en-US"/>
        </w:rPr>
        <w:t>p</w:t>
      </w:r>
      <w:r>
        <w:rPr>
          <w:rFonts w:ascii="Barlow Medium" w:eastAsia="Arial" w:hAnsi="Barlow Medium" w:cs="Arial"/>
          <w:lang w:eastAsia="en-US"/>
        </w:rPr>
        <w:t>a</w:t>
      </w:r>
      <w:r>
        <w:rPr>
          <w:rFonts w:ascii="Barlow Medium" w:eastAsia="Arial" w:hAnsi="Barlow Medium" w:cs="Arial"/>
          <w:spacing w:val="-2"/>
          <w:lang w:eastAsia="en-US"/>
        </w:rPr>
        <w:t>l</w:t>
      </w:r>
      <w:r>
        <w:rPr>
          <w:rFonts w:ascii="Barlow Medium" w:eastAsia="Arial" w:hAnsi="Barlow Medium" w:cs="Arial"/>
          <w:lang w:eastAsia="en-US"/>
        </w:rPr>
        <w:t xml:space="preserve">es </w:t>
      </w:r>
      <w:r>
        <w:rPr>
          <w:rFonts w:ascii="Barlow Medium" w:eastAsia="Arial" w:hAnsi="Barlow Medium" w:cs="Arial"/>
          <w:spacing w:val="-1"/>
          <w:lang w:eastAsia="en-US"/>
        </w:rPr>
        <w:t>c</w:t>
      </w:r>
      <w:r>
        <w:rPr>
          <w:rFonts w:ascii="Barlow Medium" w:eastAsia="Arial" w:hAnsi="Barlow Medium" w:cs="Arial"/>
          <w:lang w:eastAsia="en-US"/>
        </w:rPr>
        <w:t>ate</w:t>
      </w:r>
      <w:r>
        <w:rPr>
          <w:rFonts w:ascii="Barlow Medium" w:eastAsia="Arial" w:hAnsi="Barlow Medium" w:cs="Arial"/>
          <w:spacing w:val="1"/>
          <w:lang w:eastAsia="en-US"/>
        </w:rPr>
        <w:t>g</w:t>
      </w:r>
      <w:r>
        <w:rPr>
          <w:rFonts w:ascii="Barlow Medium" w:eastAsia="Arial" w:hAnsi="Barlow Medium" w:cs="Arial"/>
          <w:lang w:eastAsia="en-US"/>
        </w:rPr>
        <w:t>orías en</w:t>
      </w:r>
      <w:r>
        <w:rPr>
          <w:rFonts w:ascii="Barlow Medium" w:eastAsia="Arial" w:hAnsi="Barlow Medium" w:cs="Arial"/>
          <w:spacing w:val="17"/>
          <w:lang w:eastAsia="en-US"/>
        </w:rPr>
        <w:t xml:space="preserve"> </w:t>
      </w:r>
      <w:r>
        <w:rPr>
          <w:rFonts w:ascii="Barlow Medium" w:eastAsia="Arial" w:hAnsi="Barlow Medium" w:cs="Arial"/>
          <w:lang w:eastAsia="en-US"/>
        </w:rPr>
        <w:t>i</w:t>
      </w:r>
      <w:r>
        <w:rPr>
          <w:rFonts w:ascii="Barlow Medium" w:eastAsia="Arial" w:hAnsi="Barlow Medium" w:cs="Arial"/>
          <w:spacing w:val="1"/>
          <w:lang w:eastAsia="en-US"/>
        </w:rPr>
        <w:t>n</w:t>
      </w:r>
      <w:r>
        <w:rPr>
          <w:rFonts w:ascii="Barlow Medium" w:eastAsia="Arial" w:hAnsi="Barlow Medium" w:cs="Arial"/>
          <w:spacing w:val="-1"/>
          <w:lang w:eastAsia="en-US"/>
        </w:rPr>
        <w:t>v</w:t>
      </w:r>
      <w:r>
        <w:rPr>
          <w:rFonts w:ascii="Barlow Medium" w:eastAsia="Arial" w:hAnsi="Barlow Medium" w:cs="Arial"/>
          <w:lang w:eastAsia="en-US"/>
        </w:rPr>
        <w:t>ers</w:t>
      </w:r>
      <w:r>
        <w:rPr>
          <w:rFonts w:ascii="Barlow Medium" w:eastAsia="Arial" w:hAnsi="Barlow Medium" w:cs="Arial"/>
          <w:spacing w:val="-2"/>
          <w:lang w:eastAsia="en-US"/>
        </w:rPr>
        <w:t>i</w:t>
      </w:r>
      <w:r>
        <w:rPr>
          <w:rFonts w:ascii="Barlow Medium" w:eastAsia="Arial" w:hAnsi="Barlow Medium" w:cs="Arial"/>
          <w:lang w:eastAsia="en-US"/>
        </w:rPr>
        <w:t>ón</w:t>
      </w:r>
      <w:r>
        <w:rPr>
          <w:rFonts w:ascii="Barlow Medium" w:eastAsia="Arial" w:hAnsi="Barlow Medium" w:cs="Arial"/>
          <w:spacing w:val="35"/>
          <w:lang w:eastAsia="en-US"/>
        </w:rPr>
        <w:t xml:space="preserve"> </w:t>
      </w:r>
      <w:r>
        <w:rPr>
          <w:rFonts w:ascii="Barlow Medium" w:eastAsia="Arial" w:hAnsi="Barlow Medium" w:cs="Arial"/>
          <w:lang w:eastAsia="en-US"/>
        </w:rPr>
        <w:t>social,</w:t>
      </w:r>
      <w:r>
        <w:rPr>
          <w:rFonts w:ascii="Barlow Medium" w:eastAsia="Arial" w:hAnsi="Barlow Medium" w:cs="Arial"/>
          <w:spacing w:val="28"/>
          <w:lang w:eastAsia="en-US"/>
        </w:rPr>
        <w:t xml:space="preserve"> </w:t>
      </w:r>
      <w:r>
        <w:rPr>
          <w:rFonts w:ascii="Barlow Medium" w:eastAsia="Arial" w:hAnsi="Barlow Medium" w:cs="Arial"/>
          <w:spacing w:val="-1"/>
          <w:lang w:eastAsia="en-US"/>
        </w:rPr>
        <w:t>c</w:t>
      </w:r>
      <w:r>
        <w:rPr>
          <w:rFonts w:ascii="Barlow Medium" w:eastAsia="Arial" w:hAnsi="Barlow Medium" w:cs="Arial"/>
          <w:lang w:eastAsia="en-US"/>
        </w:rPr>
        <w:t>on las c</w:t>
      </w:r>
      <w:r>
        <w:rPr>
          <w:rFonts w:ascii="Barlow Medium" w:eastAsia="Arial" w:hAnsi="Barlow Medium" w:cs="Arial"/>
          <w:spacing w:val="-1"/>
          <w:lang w:eastAsia="en-US"/>
        </w:rPr>
        <w:t>u</w:t>
      </w:r>
      <w:r>
        <w:rPr>
          <w:rFonts w:ascii="Barlow Medium" w:eastAsia="Arial" w:hAnsi="Barlow Medium" w:cs="Arial"/>
          <w:spacing w:val="1"/>
          <w:lang w:eastAsia="en-US"/>
        </w:rPr>
        <w:t>a</w:t>
      </w:r>
      <w:r>
        <w:rPr>
          <w:rFonts w:ascii="Barlow Medium" w:eastAsia="Arial" w:hAnsi="Barlow Medium" w:cs="Arial"/>
          <w:lang w:eastAsia="en-US"/>
        </w:rPr>
        <w:t>les</w:t>
      </w:r>
      <w:r>
        <w:rPr>
          <w:rFonts w:ascii="Barlow Medium" w:eastAsia="Arial" w:hAnsi="Barlow Medium" w:cs="Arial"/>
          <w:spacing w:val="27"/>
          <w:lang w:eastAsia="en-US"/>
        </w:rPr>
        <w:t xml:space="preserve"> </w:t>
      </w:r>
      <w:r>
        <w:rPr>
          <w:rFonts w:ascii="Barlow Medium" w:eastAsia="Arial" w:hAnsi="Barlow Medium" w:cs="Arial"/>
          <w:w w:val="103"/>
          <w:lang w:eastAsia="en-US"/>
        </w:rPr>
        <w:t xml:space="preserve">se </w:t>
      </w:r>
      <w:r>
        <w:rPr>
          <w:rFonts w:ascii="Barlow Medium" w:eastAsia="Arial" w:hAnsi="Barlow Medium" w:cs="Arial"/>
          <w:lang w:eastAsia="en-US"/>
        </w:rPr>
        <w:t>pr</w:t>
      </w:r>
      <w:r>
        <w:rPr>
          <w:rFonts w:ascii="Barlow Medium" w:eastAsia="Arial" w:hAnsi="Barlow Medium" w:cs="Arial"/>
          <w:spacing w:val="-1"/>
          <w:lang w:eastAsia="en-US"/>
        </w:rPr>
        <w:t>e</w:t>
      </w:r>
      <w:r>
        <w:rPr>
          <w:rFonts w:ascii="Barlow Medium" w:eastAsia="Arial" w:hAnsi="Barlow Medium" w:cs="Arial"/>
          <w:lang w:eastAsia="en-US"/>
        </w:rPr>
        <w:t>tende me</w:t>
      </w:r>
      <w:r>
        <w:rPr>
          <w:rFonts w:ascii="Barlow Medium" w:eastAsia="Arial" w:hAnsi="Barlow Medium" w:cs="Arial"/>
          <w:spacing w:val="-2"/>
          <w:lang w:eastAsia="en-US"/>
        </w:rPr>
        <w:t>j</w:t>
      </w:r>
      <w:r>
        <w:rPr>
          <w:rFonts w:ascii="Barlow Medium" w:eastAsia="Arial" w:hAnsi="Barlow Medium" w:cs="Arial"/>
          <w:lang w:eastAsia="en-US"/>
        </w:rPr>
        <w:t>orar</w:t>
      </w:r>
      <w:r>
        <w:rPr>
          <w:rFonts w:ascii="Barlow Medium" w:eastAsia="Arial" w:hAnsi="Barlow Medium" w:cs="Arial"/>
          <w:spacing w:val="34"/>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a cal</w:t>
      </w:r>
      <w:r>
        <w:rPr>
          <w:rFonts w:ascii="Barlow Medium" w:eastAsia="Arial" w:hAnsi="Barlow Medium" w:cs="Arial"/>
          <w:spacing w:val="-2"/>
          <w:lang w:eastAsia="en-US"/>
        </w:rPr>
        <w:t>i</w:t>
      </w:r>
      <w:r>
        <w:rPr>
          <w:rFonts w:ascii="Barlow Medium" w:eastAsia="Arial" w:hAnsi="Barlow Medium" w:cs="Arial"/>
          <w:lang w:eastAsia="en-US"/>
        </w:rPr>
        <w:t>dad de v</w:t>
      </w:r>
      <w:r>
        <w:rPr>
          <w:rFonts w:ascii="Barlow Medium" w:eastAsia="Arial" w:hAnsi="Barlow Medium" w:cs="Arial"/>
          <w:spacing w:val="-2"/>
          <w:lang w:eastAsia="en-US"/>
        </w:rPr>
        <w:t>i</w:t>
      </w:r>
      <w:r>
        <w:rPr>
          <w:rFonts w:ascii="Barlow Medium" w:eastAsia="Arial" w:hAnsi="Barlow Medium" w:cs="Arial"/>
          <w:lang w:eastAsia="en-US"/>
        </w:rPr>
        <w:t>da de l</w:t>
      </w:r>
      <w:r>
        <w:rPr>
          <w:rFonts w:ascii="Barlow Medium" w:eastAsia="Arial" w:hAnsi="Barlow Medium" w:cs="Arial"/>
          <w:spacing w:val="1"/>
          <w:lang w:eastAsia="en-US"/>
        </w:rPr>
        <w:t>o</w:t>
      </w:r>
      <w:r>
        <w:rPr>
          <w:rFonts w:ascii="Barlow Medium" w:eastAsia="Arial" w:hAnsi="Barlow Medium" w:cs="Arial"/>
          <w:lang w:eastAsia="en-US"/>
        </w:rPr>
        <w:t xml:space="preserve">s </w:t>
      </w:r>
      <w:r>
        <w:rPr>
          <w:rFonts w:ascii="Barlow Medium" w:eastAsia="Arial" w:hAnsi="Barlow Medium" w:cs="Arial"/>
          <w:spacing w:val="-2"/>
          <w:lang w:eastAsia="en-US"/>
        </w:rPr>
        <w:t>j</w:t>
      </w:r>
      <w:r>
        <w:rPr>
          <w:rFonts w:ascii="Barlow Medium" w:eastAsia="Arial" w:hAnsi="Barlow Medium" w:cs="Arial"/>
          <w:spacing w:val="1"/>
          <w:lang w:eastAsia="en-US"/>
        </w:rPr>
        <w:t>ó</w:t>
      </w:r>
      <w:r>
        <w:rPr>
          <w:rFonts w:ascii="Barlow Medium" w:eastAsia="Arial" w:hAnsi="Barlow Medium" w:cs="Arial"/>
          <w:spacing w:val="-1"/>
          <w:lang w:eastAsia="en-US"/>
        </w:rPr>
        <w:t>v</w:t>
      </w:r>
      <w:r>
        <w:rPr>
          <w:rFonts w:ascii="Barlow Medium" w:eastAsia="Arial" w:hAnsi="Barlow Medium" w:cs="Arial"/>
          <w:lang w:eastAsia="en-US"/>
        </w:rPr>
        <w:t>e</w:t>
      </w:r>
      <w:r>
        <w:rPr>
          <w:rFonts w:ascii="Barlow Medium" w:eastAsia="Arial" w:hAnsi="Barlow Medium" w:cs="Arial"/>
          <w:spacing w:val="1"/>
          <w:lang w:eastAsia="en-US"/>
        </w:rPr>
        <w:t>n</w:t>
      </w:r>
      <w:r>
        <w:rPr>
          <w:rFonts w:ascii="Barlow Medium" w:eastAsia="Arial" w:hAnsi="Barlow Medium" w:cs="Arial"/>
          <w:lang w:eastAsia="en-US"/>
        </w:rPr>
        <w:t>e</w:t>
      </w:r>
      <w:r>
        <w:rPr>
          <w:rFonts w:ascii="Barlow Medium" w:eastAsia="Arial" w:hAnsi="Barlow Medium" w:cs="Arial"/>
          <w:spacing w:val="-1"/>
          <w:lang w:eastAsia="en-US"/>
        </w:rPr>
        <w:t>s</w:t>
      </w:r>
      <w:r>
        <w:rPr>
          <w:rFonts w:ascii="Barlow Medium" w:eastAsia="Arial" w:hAnsi="Barlow Medium" w:cs="Arial"/>
          <w:lang w:eastAsia="en-US"/>
        </w:rPr>
        <w:t xml:space="preserve">. </w:t>
      </w:r>
    </w:p>
    <w:tbl>
      <w:tblPr>
        <w:tblW w:w="8755" w:type="dxa"/>
        <w:tblLook w:val="04A0"/>
      </w:tblPr>
      <w:tblGrid>
        <w:gridCol w:w="1921"/>
        <w:gridCol w:w="6834"/>
      </w:tblGrid>
      <w:tr w:rsidR="004850C2" w:rsidTr="004850C2">
        <w:trPr>
          <w:trHeight w:val="302"/>
        </w:trPr>
        <w:tc>
          <w:tcPr>
            <w:tcW w:w="1921" w:type="dxa"/>
            <w:shd w:val="clear" w:color="auto" w:fill="16365C"/>
            <w:hideMark/>
          </w:tcPr>
          <w:p w:rsidR="004850C2" w:rsidRDefault="004850C2">
            <w:pPr>
              <w:jc w:val="center"/>
              <w:rPr>
                <w:rFonts w:ascii="Barlow Medium" w:hAnsi="Barlow Medium" w:cs="Arial"/>
                <w:sz w:val="20"/>
                <w:szCs w:val="20"/>
              </w:rPr>
            </w:pPr>
            <w:r>
              <w:rPr>
                <w:rFonts w:ascii="Barlow Medium" w:hAnsi="Barlow Medium" w:cs="Arial"/>
                <w:sz w:val="20"/>
                <w:szCs w:val="20"/>
              </w:rPr>
              <w:t>Temática</w:t>
            </w:r>
          </w:p>
        </w:tc>
        <w:tc>
          <w:tcPr>
            <w:tcW w:w="6834" w:type="dxa"/>
            <w:shd w:val="clear" w:color="auto" w:fill="16365C"/>
            <w:hideMark/>
          </w:tcPr>
          <w:p w:rsidR="004850C2" w:rsidRDefault="004850C2">
            <w:pPr>
              <w:jc w:val="center"/>
              <w:rPr>
                <w:rFonts w:ascii="Barlow Medium" w:hAnsi="Barlow Medium" w:cs="Arial"/>
                <w:sz w:val="20"/>
                <w:szCs w:val="20"/>
              </w:rPr>
            </w:pPr>
            <w:r>
              <w:rPr>
                <w:rFonts w:ascii="Barlow Medium" w:hAnsi="Barlow Medium" w:cs="Arial"/>
                <w:sz w:val="20"/>
                <w:szCs w:val="20"/>
              </w:rPr>
              <w:t>Definición</w:t>
            </w:r>
          </w:p>
        </w:tc>
      </w:tr>
      <w:tr w:rsidR="004850C2" w:rsidTr="004850C2">
        <w:trPr>
          <w:trHeight w:val="955"/>
        </w:trPr>
        <w:tc>
          <w:tcPr>
            <w:tcW w:w="1921" w:type="dxa"/>
            <w:tcBorders>
              <w:top w:val="single" w:sz="8" w:space="0" w:color="748AC3" w:themeColor="accent1" w:themeTint="BF"/>
              <w:left w:val="single" w:sz="8" w:space="0" w:color="748AC3" w:themeColor="accent1" w:themeTint="BF"/>
              <w:bottom w:val="single" w:sz="8" w:space="0" w:color="748AC3" w:themeColor="accent1" w:themeTint="BF"/>
              <w:right w:val="nil"/>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Educación</w:t>
            </w:r>
          </w:p>
        </w:tc>
        <w:tc>
          <w:tcPr>
            <w:tcW w:w="6834" w:type="dxa"/>
            <w:tcBorders>
              <w:top w:val="single" w:sz="8" w:space="0" w:color="748AC3" w:themeColor="accent1" w:themeTint="BF"/>
              <w:left w:val="nil"/>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tc>
      </w:tr>
      <w:tr w:rsidR="004850C2" w:rsidTr="004850C2">
        <w:trPr>
          <w:trHeight w:val="955"/>
        </w:trPr>
        <w:tc>
          <w:tcPr>
            <w:tcW w:w="1921" w:type="dxa"/>
            <w:tcBorders>
              <w:top w:val="single" w:sz="8" w:space="0" w:color="748AC3" w:themeColor="accent1" w:themeTint="BF"/>
              <w:left w:val="single" w:sz="8" w:space="0" w:color="748AC3" w:themeColor="accent1" w:themeTint="BF"/>
              <w:bottom w:val="single" w:sz="8" w:space="0" w:color="748AC3" w:themeColor="accent1" w:themeTint="BF"/>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Deporte, recreación y cultura</w:t>
            </w:r>
          </w:p>
        </w:tc>
        <w:tc>
          <w:tcPr>
            <w:tcW w:w="6834" w:type="dxa"/>
            <w:tcBorders>
              <w:top w:val="single" w:sz="8" w:space="0" w:color="748AC3" w:themeColor="accent1" w:themeTint="BF"/>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refiere a acciones que incentivan a los jóvenes a la participación en actividades de esta categoría como fuente de recreación disminuyendo las conductas de riesgo.</w:t>
            </w:r>
          </w:p>
        </w:tc>
      </w:tr>
      <w:tr w:rsidR="004850C2" w:rsidTr="004850C2">
        <w:trPr>
          <w:trHeight w:val="1274"/>
        </w:trPr>
        <w:tc>
          <w:tcPr>
            <w:tcW w:w="1921" w:type="dxa"/>
            <w:tcBorders>
              <w:top w:val="single" w:sz="8" w:space="0" w:color="748AC3" w:themeColor="accent1" w:themeTint="BF"/>
              <w:left w:val="single" w:sz="8" w:space="0" w:color="748AC3" w:themeColor="accent1" w:themeTint="BF"/>
              <w:bottom w:val="single" w:sz="8" w:space="0" w:color="748AC3" w:themeColor="accent1" w:themeTint="BF"/>
              <w:right w:val="nil"/>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 xml:space="preserve"> Salud</w:t>
            </w:r>
          </w:p>
        </w:tc>
        <w:tc>
          <w:tcPr>
            <w:tcW w:w="6834" w:type="dxa"/>
            <w:tcBorders>
              <w:top w:val="single" w:sz="8" w:space="0" w:color="748AC3" w:themeColor="accent1" w:themeTint="BF"/>
              <w:left w:val="nil"/>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De acuerdo con la Organización Mundial de la Salud</w:t>
            </w:r>
            <w:r>
              <w:rPr>
                <w:rFonts w:ascii="Barlow Medium" w:eastAsia="Arial" w:hAnsi="Barlow Medium" w:cs="Arial"/>
                <w:sz w:val="20"/>
                <w:szCs w:val="20"/>
                <w:vertAlign w:val="superscript"/>
              </w:rPr>
              <w:footnoteReference w:id="7"/>
            </w:r>
            <w:r>
              <w:rPr>
                <w:rFonts w:ascii="Barlow Medium" w:hAnsi="Barlow Medium" w:cs="Arial"/>
                <w:color w:val="000000"/>
                <w:sz w:val="20"/>
                <w:szCs w:val="20"/>
              </w:rPr>
              <w:t xml:space="preserve"> es un estado completo de bienestar físico, mental y social. </w:t>
            </w:r>
          </w:p>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consideraron los programas con inversión en prevención y atención en adicciones, salud sexual y reproductiva para jóvenes.</w:t>
            </w:r>
          </w:p>
        </w:tc>
      </w:tr>
      <w:tr w:rsidR="004850C2" w:rsidTr="004850C2">
        <w:trPr>
          <w:trHeight w:val="955"/>
        </w:trPr>
        <w:tc>
          <w:tcPr>
            <w:tcW w:w="1921" w:type="dxa"/>
            <w:tcBorders>
              <w:top w:val="single" w:sz="8" w:space="0" w:color="748AC3" w:themeColor="accent1" w:themeTint="BF"/>
              <w:left w:val="single" w:sz="8" w:space="0" w:color="748AC3" w:themeColor="accent1" w:themeTint="BF"/>
              <w:bottom w:val="single" w:sz="8" w:space="0" w:color="748AC3" w:themeColor="accent1" w:themeTint="BF"/>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lastRenderedPageBreak/>
              <w:t>Información</w:t>
            </w:r>
          </w:p>
        </w:tc>
        <w:tc>
          <w:tcPr>
            <w:tcW w:w="6834" w:type="dxa"/>
            <w:tcBorders>
              <w:top w:val="single" w:sz="8" w:space="0" w:color="748AC3" w:themeColor="accent1" w:themeTint="BF"/>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identifican acciones que promueven el acceso a los  medios de información, lo que es vital para el fortalecimiento de sus capacidades y habilidades, permitiendo así tener un poder crítico del contexto social.</w:t>
            </w:r>
          </w:p>
        </w:tc>
      </w:tr>
      <w:tr w:rsidR="004850C2" w:rsidTr="004850C2">
        <w:trPr>
          <w:trHeight w:val="955"/>
        </w:trPr>
        <w:tc>
          <w:tcPr>
            <w:tcW w:w="1921" w:type="dxa"/>
            <w:tcBorders>
              <w:top w:val="single" w:sz="8" w:space="0" w:color="748AC3" w:themeColor="accent1" w:themeTint="BF"/>
              <w:left w:val="single" w:sz="8" w:space="0" w:color="748AC3" w:themeColor="accent1" w:themeTint="BF"/>
              <w:bottom w:val="single" w:sz="8" w:space="0" w:color="748AC3" w:themeColor="accent1" w:themeTint="BF"/>
              <w:right w:val="nil"/>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Economía y    trabajo</w:t>
            </w:r>
          </w:p>
        </w:tc>
        <w:tc>
          <w:tcPr>
            <w:tcW w:w="6834" w:type="dxa"/>
            <w:tcBorders>
              <w:top w:val="single" w:sz="8" w:space="0" w:color="748AC3" w:themeColor="accent1" w:themeTint="BF"/>
              <w:left w:val="nil"/>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Mediante    las    acciones    como    capacitación laboral,  talleres  y formación  de  emprendedores,  se  fortalecen  las habilidades de los jóvenes para su inclusión al mercado laboral.</w:t>
            </w:r>
          </w:p>
        </w:tc>
      </w:tr>
      <w:tr w:rsidR="004850C2" w:rsidTr="004850C2">
        <w:trPr>
          <w:trHeight w:val="1592"/>
        </w:trPr>
        <w:tc>
          <w:tcPr>
            <w:tcW w:w="1921" w:type="dxa"/>
            <w:tcBorders>
              <w:top w:val="single" w:sz="8" w:space="0" w:color="748AC3" w:themeColor="accent1" w:themeTint="BF"/>
              <w:left w:val="single" w:sz="8" w:space="0" w:color="748AC3" w:themeColor="accent1" w:themeTint="BF"/>
              <w:bottom w:val="single" w:sz="8" w:space="0" w:color="748AC3" w:themeColor="accent1" w:themeTint="BF"/>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Asistencia Social</w:t>
            </w:r>
          </w:p>
        </w:tc>
        <w:tc>
          <w:tcPr>
            <w:tcW w:w="6834" w:type="dxa"/>
            <w:tcBorders>
              <w:top w:val="single" w:sz="8" w:space="0" w:color="748AC3" w:themeColor="accent1" w:themeTint="BF"/>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refiere a acciones dirigidas a jóvenes que se encuentran en situación de vulnerabilidad o que presentan una problemática social, incluye atención para satisfacer sus necesidades básicas de alimentación, servicios médicos, entre otras.</w:t>
            </w:r>
          </w:p>
        </w:tc>
      </w:tr>
      <w:tr w:rsidR="004850C2" w:rsidTr="004850C2">
        <w:trPr>
          <w:trHeight w:val="637"/>
        </w:trPr>
        <w:tc>
          <w:tcPr>
            <w:tcW w:w="1921" w:type="dxa"/>
            <w:tcBorders>
              <w:top w:val="single" w:sz="8" w:space="0" w:color="748AC3" w:themeColor="accent1" w:themeTint="BF"/>
              <w:left w:val="single" w:sz="8" w:space="0" w:color="748AC3" w:themeColor="accent1" w:themeTint="BF"/>
              <w:bottom w:val="single" w:sz="8" w:space="0" w:color="748AC3" w:themeColor="accent1" w:themeTint="BF"/>
              <w:right w:val="nil"/>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Vivienda</w:t>
            </w:r>
          </w:p>
        </w:tc>
        <w:tc>
          <w:tcPr>
            <w:tcW w:w="6834" w:type="dxa"/>
            <w:tcBorders>
              <w:top w:val="single" w:sz="8" w:space="0" w:color="748AC3" w:themeColor="accent1" w:themeTint="BF"/>
              <w:left w:val="nil"/>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Se incluyen acciones para asegurar el acceso a una vivienda digna por medio de subsidios a la población de jóvenes.</w:t>
            </w:r>
          </w:p>
        </w:tc>
      </w:tr>
      <w:tr w:rsidR="004850C2" w:rsidTr="004850C2">
        <w:trPr>
          <w:trHeight w:val="1592"/>
        </w:trPr>
        <w:tc>
          <w:tcPr>
            <w:tcW w:w="1921" w:type="dxa"/>
            <w:tcBorders>
              <w:top w:val="single" w:sz="8" w:space="0" w:color="748AC3" w:themeColor="accent1" w:themeTint="BF"/>
              <w:left w:val="single" w:sz="8" w:space="0" w:color="748AC3" w:themeColor="accent1" w:themeTint="BF"/>
              <w:bottom w:val="single" w:sz="8" w:space="0" w:color="748AC3" w:themeColor="accent1" w:themeTint="BF"/>
            </w:tcBorders>
            <w:hideMark/>
          </w:tcPr>
          <w:p w:rsidR="004850C2" w:rsidRDefault="004850C2">
            <w:pPr>
              <w:rPr>
                <w:rFonts w:ascii="Barlow Medium" w:hAnsi="Barlow Medium" w:cs="Arial"/>
                <w:color w:val="000000"/>
                <w:sz w:val="20"/>
                <w:szCs w:val="20"/>
              </w:rPr>
            </w:pPr>
            <w:r>
              <w:rPr>
                <w:rFonts w:ascii="Barlow Medium" w:hAnsi="Barlow Medium" w:cs="Arial"/>
                <w:color w:val="000000"/>
                <w:sz w:val="20"/>
                <w:szCs w:val="20"/>
              </w:rPr>
              <w:t>Seguridad legal</w:t>
            </w:r>
          </w:p>
        </w:tc>
        <w:tc>
          <w:tcPr>
            <w:tcW w:w="6834" w:type="dxa"/>
            <w:tcBorders>
              <w:top w:val="single" w:sz="8" w:space="0" w:color="748AC3" w:themeColor="accent1" w:themeTint="BF"/>
              <w:bottom w:val="single" w:sz="8" w:space="0" w:color="748AC3" w:themeColor="accent1" w:themeTint="BF"/>
              <w:right w:val="single" w:sz="8" w:space="0" w:color="748AC3" w:themeColor="accent1" w:themeTint="BF"/>
            </w:tcBorders>
            <w:hideMark/>
          </w:tcPr>
          <w:p w:rsidR="004850C2" w:rsidRDefault="004850C2">
            <w:pPr>
              <w:jc w:val="both"/>
              <w:rPr>
                <w:rFonts w:ascii="Barlow Medium" w:hAnsi="Barlow Medium" w:cs="Arial"/>
                <w:color w:val="000000"/>
                <w:sz w:val="20"/>
                <w:szCs w:val="20"/>
              </w:rPr>
            </w:pPr>
            <w:r>
              <w:rPr>
                <w:rFonts w:ascii="Barlow Medium" w:hAnsi="Barlow Medium" w:cs="Arial"/>
                <w:color w:val="000000"/>
                <w:sz w:val="20"/>
                <w:szCs w:val="20"/>
              </w:rPr>
              <w:t>Asegurar a las y los jóvenes el derecho a la seguridad personal, al derecho de su libertad y al ejercicio de la misma, sin ser coartados ni limitados en las actividades que derivan de ella, prohibiéndose cualquier medida que atente contra la libertad, integridad, seguridad física y mental</w:t>
            </w:r>
            <w:r>
              <w:rPr>
                <w:rFonts w:ascii="Barlow Medium" w:eastAsia="Arial" w:hAnsi="Barlow Medium" w:cs="Arial"/>
                <w:sz w:val="20"/>
                <w:szCs w:val="20"/>
              </w:rPr>
              <w:t>.</w:t>
            </w:r>
          </w:p>
        </w:tc>
      </w:tr>
    </w:tbl>
    <w:p w:rsidR="004850C2" w:rsidRDefault="004850C2" w:rsidP="004850C2">
      <w:pPr>
        <w:widowControl w:val="0"/>
        <w:ind w:left="720"/>
        <w:contextualSpacing/>
        <w:jc w:val="both"/>
        <w:rPr>
          <w:rFonts w:ascii="Barlow Medium" w:eastAsiaTheme="minorHAnsi" w:hAnsi="Barlow Medium" w:cs="Arial"/>
          <w:b/>
          <w:i/>
          <w:lang w:eastAsia="en-US"/>
        </w:rPr>
      </w:pPr>
    </w:p>
    <w:p w:rsidR="004850C2" w:rsidRDefault="004850C2" w:rsidP="00E22205">
      <w:pPr>
        <w:widowControl w:val="0"/>
        <w:numPr>
          <w:ilvl w:val="0"/>
          <w:numId w:val="37"/>
        </w:numPr>
        <w:spacing w:after="200" w:line="276" w:lineRule="auto"/>
        <w:jc w:val="both"/>
        <w:rPr>
          <w:rFonts w:ascii="Barlow Medium" w:eastAsiaTheme="minorHAnsi" w:hAnsi="Barlow Medium" w:cs="Arial"/>
          <w:b/>
          <w:i/>
          <w:lang w:eastAsia="en-US"/>
        </w:rPr>
      </w:pPr>
      <w:r>
        <w:rPr>
          <w:rFonts w:ascii="Barlow Medium" w:eastAsiaTheme="minorHAnsi" w:hAnsi="Barlow Medium" w:cs="Arial"/>
          <w:b/>
          <w:i/>
          <w:lang w:eastAsia="en-US"/>
        </w:rPr>
        <w:t>Anál</w:t>
      </w:r>
      <w:r>
        <w:rPr>
          <w:rFonts w:ascii="Barlow Medium" w:eastAsiaTheme="minorHAnsi" w:hAnsi="Barlow Medium" w:cs="Arial"/>
          <w:b/>
          <w:i/>
          <w:spacing w:val="-2"/>
          <w:lang w:eastAsia="en-US"/>
        </w:rPr>
        <w:t>i</w:t>
      </w:r>
      <w:r>
        <w:rPr>
          <w:rFonts w:ascii="Barlow Medium" w:eastAsiaTheme="minorHAnsi" w:hAnsi="Barlow Medium" w:cs="Arial"/>
          <w:b/>
          <w:i/>
          <w:spacing w:val="1"/>
          <w:lang w:eastAsia="en-US"/>
        </w:rPr>
        <w:t>s</w:t>
      </w:r>
      <w:r>
        <w:rPr>
          <w:rFonts w:ascii="Barlow Medium" w:eastAsiaTheme="minorHAnsi" w:hAnsi="Barlow Medium" w:cs="Arial"/>
          <w:b/>
          <w:i/>
          <w:lang w:eastAsia="en-US"/>
        </w:rPr>
        <w:t>is</w:t>
      </w:r>
      <w:r>
        <w:rPr>
          <w:rFonts w:ascii="Barlow Medium" w:eastAsiaTheme="minorHAnsi" w:hAnsi="Barlow Medium" w:cs="Arial"/>
          <w:b/>
          <w:i/>
          <w:spacing w:val="3"/>
          <w:lang w:eastAsia="en-US"/>
        </w:rPr>
        <w:t xml:space="preserve"> </w:t>
      </w:r>
      <w:r>
        <w:rPr>
          <w:rFonts w:ascii="Barlow Medium" w:eastAsiaTheme="minorHAnsi" w:hAnsi="Barlow Medium" w:cs="Arial"/>
          <w:b/>
          <w:i/>
          <w:lang w:eastAsia="en-US"/>
        </w:rPr>
        <w:t>de</w:t>
      </w:r>
      <w:r>
        <w:rPr>
          <w:rFonts w:ascii="Barlow Medium" w:eastAsiaTheme="minorHAnsi" w:hAnsi="Barlow Medium" w:cs="Arial"/>
          <w:b/>
          <w:i/>
          <w:spacing w:val="44"/>
          <w:lang w:eastAsia="en-US"/>
        </w:rPr>
        <w:t xml:space="preserve"> </w:t>
      </w:r>
      <w:r>
        <w:rPr>
          <w:rFonts w:ascii="Barlow Medium" w:eastAsiaTheme="minorHAnsi" w:hAnsi="Barlow Medium" w:cs="Arial"/>
          <w:b/>
          <w:i/>
          <w:lang w:eastAsia="en-US"/>
        </w:rPr>
        <w:t>acuerdo</w:t>
      </w:r>
      <w:r>
        <w:rPr>
          <w:rFonts w:ascii="Barlow Medium" w:eastAsiaTheme="minorHAnsi" w:hAnsi="Barlow Medium" w:cs="Arial"/>
          <w:b/>
          <w:i/>
          <w:spacing w:val="4"/>
          <w:lang w:eastAsia="en-US"/>
        </w:rPr>
        <w:t xml:space="preserve"> </w:t>
      </w:r>
      <w:r>
        <w:rPr>
          <w:rFonts w:ascii="Barlow Medium" w:eastAsiaTheme="minorHAnsi" w:hAnsi="Barlow Medium" w:cs="Arial"/>
          <w:b/>
          <w:i/>
          <w:lang w:eastAsia="en-US"/>
        </w:rPr>
        <w:t>con la e</w:t>
      </w:r>
      <w:r>
        <w:rPr>
          <w:rFonts w:ascii="Barlow Medium" w:eastAsiaTheme="minorHAnsi" w:hAnsi="Barlow Medium" w:cs="Arial"/>
          <w:b/>
          <w:i/>
          <w:spacing w:val="-1"/>
          <w:lang w:eastAsia="en-US"/>
        </w:rPr>
        <w:t>s</w:t>
      </w:r>
      <w:r>
        <w:rPr>
          <w:rFonts w:ascii="Barlow Medium" w:eastAsiaTheme="minorHAnsi" w:hAnsi="Barlow Medium" w:cs="Arial"/>
          <w:b/>
          <w:i/>
          <w:lang w:eastAsia="en-US"/>
        </w:rPr>
        <w:t>pec</w:t>
      </w:r>
      <w:r>
        <w:rPr>
          <w:rFonts w:ascii="Barlow Medium" w:eastAsiaTheme="minorHAnsi" w:hAnsi="Barlow Medium" w:cs="Arial"/>
          <w:b/>
          <w:i/>
          <w:spacing w:val="-2"/>
          <w:lang w:eastAsia="en-US"/>
        </w:rPr>
        <w:t>i</w:t>
      </w:r>
      <w:r>
        <w:rPr>
          <w:rFonts w:ascii="Barlow Medium" w:eastAsiaTheme="minorHAnsi" w:hAnsi="Barlow Medium" w:cs="Arial"/>
          <w:b/>
          <w:i/>
          <w:spacing w:val="1"/>
          <w:lang w:eastAsia="en-US"/>
        </w:rPr>
        <w:t>f</w:t>
      </w:r>
      <w:r>
        <w:rPr>
          <w:rFonts w:ascii="Barlow Medium" w:eastAsiaTheme="minorHAnsi" w:hAnsi="Barlow Medium" w:cs="Arial"/>
          <w:b/>
          <w:i/>
          <w:lang w:eastAsia="en-US"/>
        </w:rPr>
        <w:t>ic</w:t>
      </w:r>
      <w:r>
        <w:rPr>
          <w:rFonts w:ascii="Barlow Medium" w:eastAsiaTheme="minorHAnsi" w:hAnsi="Barlow Medium" w:cs="Arial"/>
          <w:b/>
          <w:i/>
          <w:spacing w:val="-2"/>
          <w:lang w:eastAsia="en-US"/>
        </w:rPr>
        <w:t>i</w:t>
      </w:r>
      <w:r>
        <w:rPr>
          <w:rFonts w:ascii="Barlow Medium" w:eastAsiaTheme="minorHAnsi" w:hAnsi="Barlow Medium" w:cs="Arial"/>
          <w:b/>
          <w:i/>
          <w:spacing w:val="1"/>
          <w:lang w:eastAsia="en-US"/>
        </w:rPr>
        <w:t>d</w:t>
      </w:r>
      <w:r>
        <w:rPr>
          <w:rFonts w:ascii="Barlow Medium" w:eastAsiaTheme="minorHAnsi" w:hAnsi="Barlow Medium" w:cs="Arial"/>
          <w:b/>
          <w:i/>
          <w:lang w:eastAsia="en-US"/>
        </w:rPr>
        <w:t>ad de la inversión.</w:t>
      </w:r>
    </w:p>
    <w:p w:rsidR="004850C2" w:rsidRDefault="004850C2" w:rsidP="004850C2">
      <w:pPr>
        <w:widowControl w:val="0"/>
        <w:jc w:val="both"/>
        <w:rPr>
          <w:rFonts w:ascii="Barlow Medium" w:eastAsiaTheme="minorHAnsi" w:hAnsi="Barlow Medium" w:cs="Arial"/>
          <w:spacing w:val="1"/>
          <w:w w:val="103"/>
          <w:lang w:eastAsia="en-US"/>
        </w:rPr>
      </w:pPr>
      <w:r>
        <w:rPr>
          <w:rFonts w:ascii="Barlow Medium" w:eastAsiaTheme="minorHAnsi" w:hAnsi="Barlow Medium" w:cs="Arial"/>
          <w:lang w:eastAsia="en-US"/>
        </w:rPr>
        <w:t>Pa</w:t>
      </w:r>
      <w:r>
        <w:rPr>
          <w:rFonts w:ascii="Barlow Medium" w:eastAsiaTheme="minorHAnsi" w:hAnsi="Barlow Medium" w:cs="Arial"/>
          <w:spacing w:val="2"/>
          <w:lang w:eastAsia="en-US"/>
        </w:rPr>
        <w:t>r</w:t>
      </w:r>
      <w:r>
        <w:rPr>
          <w:rFonts w:ascii="Barlow Medium" w:eastAsiaTheme="minorHAnsi" w:hAnsi="Barlow Medium" w:cs="Arial"/>
          <w:lang w:eastAsia="en-US"/>
        </w:rPr>
        <w:t>a d</w:t>
      </w:r>
      <w:r>
        <w:rPr>
          <w:rFonts w:ascii="Barlow Medium" w:eastAsiaTheme="minorHAnsi" w:hAnsi="Barlow Medium" w:cs="Arial"/>
          <w:spacing w:val="-2"/>
          <w:lang w:eastAsia="en-US"/>
        </w:rPr>
        <w:t>i</w:t>
      </w:r>
      <w:r>
        <w:rPr>
          <w:rFonts w:ascii="Barlow Medium" w:eastAsiaTheme="minorHAnsi" w:hAnsi="Barlow Medium" w:cs="Arial"/>
          <w:lang w:eastAsia="en-US"/>
        </w:rPr>
        <w:t>ferenciar</w:t>
      </w:r>
      <w:r>
        <w:rPr>
          <w:rFonts w:ascii="Barlow Medium" w:eastAsiaTheme="minorHAnsi" w:hAnsi="Barlow Medium" w:cs="Arial"/>
          <w:spacing w:val="14"/>
          <w:lang w:eastAsia="en-US"/>
        </w:rPr>
        <w:t xml:space="preserve"> </w:t>
      </w:r>
      <w:r>
        <w:rPr>
          <w:rFonts w:ascii="Barlow Medium" w:eastAsiaTheme="minorHAnsi" w:hAnsi="Barlow Medium" w:cs="Arial"/>
          <w:lang w:eastAsia="en-US"/>
        </w:rPr>
        <w:t xml:space="preserve">la </w:t>
      </w:r>
      <w:r>
        <w:rPr>
          <w:rFonts w:ascii="Barlow Medium" w:eastAsiaTheme="minorHAnsi" w:hAnsi="Barlow Medium" w:cs="Arial"/>
          <w:spacing w:val="-2"/>
          <w:lang w:eastAsia="en-US"/>
        </w:rPr>
        <w:t>i</w:t>
      </w:r>
      <w:r>
        <w:rPr>
          <w:rFonts w:ascii="Barlow Medium" w:eastAsiaTheme="minorHAnsi" w:hAnsi="Barlow Medium" w:cs="Arial"/>
          <w:spacing w:val="1"/>
          <w:lang w:eastAsia="en-US"/>
        </w:rPr>
        <w:t>n</w:t>
      </w:r>
      <w:r>
        <w:rPr>
          <w:rFonts w:ascii="Barlow Medium" w:eastAsiaTheme="minorHAnsi" w:hAnsi="Barlow Medium" w:cs="Arial"/>
          <w:lang w:eastAsia="en-US"/>
        </w:rPr>
        <w:t>vers</w:t>
      </w:r>
      <w:r>
        <w:rPr>
          <w:rFonts w:ascii="Barlow Medium" w:eastAsiaTheme="minorHAnsi" w:hAnsi="Barlow Medium" w:cs="Arial"/>
          <w:spacing w:val="-2"/>
          <w:lang w:eastAsia="en-US"/>
        </w:rPr>
        <w:t>i</w:t>
      </w:r>
      <w:r>
        <w:rPr>
          <w:rFonts w:ascii="Barlow Medium" w:eastAsiaTheme="minorHAnsi" w:hAnsi="Barlow Medium" w:cs="Arial"/>
          <w:lang w:eastAsia="en-US"/>
        </w:rPr>
        <w:t xml:space="preserve">ón de </w:t>
      </w:r>
      <w:r>
        <w:rPr>
          <w:rFonts w:ascii="Barlow Medium" w:eastAsiaTheme="minorHAnsi" w:hAnsi="Barlow Medium" w:cs="Arial"/>
          <w:spacing w:val="1"/>
          <w:lang w:eastAsia="en-US"/>
        </w:rPr>
        <w:t>es</w:t>
      </w:r>
      <w:r>
        <w:rPr>
          <w:rFonts w:ascii="Barlow Medium" w:eastAsiaTheme="minorHAnsi" w:hAnsi="Barlow Medium" w:cs="Arial"/>
          <w:lang w:eastAsia="en-US"/>
        </w:rPr>
        <w:t xml:space="preserve">te </w:t>
      </w:r>
      <w:r>
        <w:rPr>
          <w:rFonts w:ascii="Barlow Medium" w:eastAsiaTheme="minorHAnsi" w:hAnsi="Barlow Medium" w:cs="Arial"/>
          <w:spacing w:val="-2"/>
          <w:lang w:eastAsia="en-US"/>
        </w:rPr>
        <w:t>s</w:t>
      </w:r>
      <w:r>
        <w:rPr>
          <w:rFonts w:ascii="Barlow Medium" w:eastAsiaTheme="minorHAnsi" w:hAnsi="Barlow Medium" w:cs="Arial"/>
          <w:spacing w:val="-1"/>
          <w:lang w:eastAsia="en-US"/>
        </w:rPr>
        <w:t>i</w:t>
      </w:r>
      <w:r>
        <w:rPr>
          <w:rFonts w:ascii="Barlow Medium" w:eastAsiaTheme="minorHAnsi" w:hAnsi="Barlow Medium" w:cs="Arial"/>
          <w:lang w:eastAsia="en-US"/>
        </w:rPr>
        <w:t>gnificativo</w:t>
      </w:r>
      <w:r>
        <w:rPr>
          <w:rFonts w:ascii="Barlow Medium" w:eastAsiaTheme="minorHAnsi" w:hAnsi="Barlow Medium" w:cs="Arial"/>
          <w:spacing w:val="14"/>
          <w:lang w:eastAsia="en-US"/>
        </w:rPr>
        <w:t xml:space="preserve"> </w:t>
      </w:r>
      <w:r>
        <w:rPr>
          <w:rFonts w:ascii="Barlow Medium" w:eastAsiaTheme="minorHAnsi" w:hAnsi="Barlow Medium" w:cs="Arial"/>
          <w:lang w:eastAsia="en-US"/>
        </w:rPr>
        <w:t>grupo</w:t>
      </w:r>
      <w:r>
        <w:rPr>
          <w:rFonts w:ascii="Barlow Medium" w:eastAsiaTheme="minorHAnsi" w:hAnsi="Barlow Medium" w:cs="Arial"/>
          <w:spacing w:val="1"/>
          <w:lang w:eastAsia="en-US"/>
        </w:rPr>
        <w:t xml:space="preserve"> </w:t>
      </w:r>
      <w:r>
        <w:rPr>
          <w:rFonts w:ascii="Barlow Medium" w:eastAsiaTheme="minorHAnsi" w:hAnsi="Barlow Medium" w:cs="Arial"/>
          <w:lang w:eastAsia="en-US"/>
        </w:rPr>
        <w:t>pob</w:t>
      </w:r>
      <w:r>
        <w:rPr>
          <w:rFonts w:ascii="Barlow Medium" w:eastAsiaTheme="minorHAnsi" w:hAnsi="Barlow Medium" w:cs="Arial"/>
          <w:spacing w:val="-2"/>
          <w:lang w:eastAsia="en-US"/>
        </w:rPr>
        <w:t>l</w:t>
      </w:r>
      <w:r>
        <w:rPr>
          <w:rFonts w:ascii="Barlow Medium" w:eastAsiaTheme="minorHAnsi" w:hAnsi="Barlow Medium" w:cs="Arial"/>
          <w:lang w:eastAsia="en-US"/>
        </w:rPr>
        <w:t>ac</w:t>
      </w:r>
      <w:r>
        <w:rPr>
          <w:rFonts w:ascii="Barlow Medium" w:eastAsiaTheme="minorHAnsi" w:hAnsi="Barlow Medium" w:cs="Arial"/>
          <w:spacing w:val="-2"/>
          <w:lang w:eastAsia="en-US"/>
        </w:rPr>
        <w:t>i</w:t>
      </w:r>
      <w:r>
        <w:rPr>
          <w:rFonts w:ascii="Barlow Medium" w:eastAsiaTheme="minorHAnsi" w:hAnsi="Barlow Medium" w:cs="Arial"/>
          <w:lang w:eastAsia="en-US"/>
        </w:rPr>
        <w:t>onal,</w:t>
      </w:r>
      <w:r>
        <w:rPr>
          <w:rFonts w:ascii="Barlow Medium" w:eastAsiaTheme="minorHAnsi" w:hAnsi="Barlow Medium" w:cs="Arial"/>
          <w:spacing w:val="19"/>
          <w:lang w:eastAsia="en-US"/>
        </w:rPr>
        <w:t xml:space="preserve"> </w:t>
      </w:r>
      <w:r>
        <w:rPr>
          <w:rFonts w:ascii="Barlow Medium" w:eastAsiaTheme="minorHAnsi" w:hAnsi="Barlow Medium" w:cs="Arial"/>
          <w:w w:val="103"/>
          <w:lang w:eastAsia="en-US"/>
        </w:rPr>
        <w:t>en</w:t>
      </w:r>
      <w:r>
        <w:rPr>
          <w:rFonts w:ascii="Barlow Medium" w:eastAsiaTheme="minorHAnsi" w:hAnsi="Barlow Medium" w:cs="Arial"/>
          <w:lang w:eastAsia="en-US"/>
        </w:rPr>
        <w:t xml:space="preserve"> cuanto </w:t>
      </w:r>
      <w:r>
        <w:rPr>
          <w:rFonts w:ascii="Barlow Medium" w:eastAsiaTheme="minorHAnsi" w:hAnsi="Barlow Medium" w:cs="Arial"/>
          <w:spacing w:val="-38"/>
          <w:lang w:eastAsia="en-US"/>
        </w:rPr>
        <w:t xml:space="preserve"> </w:t>
      </w:r>
      <w:r>
        <w:rPr>
          <w:rFonts w:ascii="Barlow Medium" w:eastAsiaTheme="minorHAnsi" w:hAnsi="Barlow Medium" w:cs="Arial"/>
          <w:lang w:eastAsia="en-US"/>
        </w:rPr>
        <w:t>a</w:t>
      </w:r>
      <w:r>
        <w:rPr>
          <w:rFonts w:ascii="Barlow Medium" w:eastAsiaTheme="minorHAnsi" w:hAnsi="Barlow Medium" w:cs="Arial"/>
          <w:spacing w:val="-52"/>
          <w:lang w:eastAsia="en-US"/>
        </w:rPr>
        <w:t xml:space="preserve"> </w:t>
      </w:r>
      <w:r>
        <w:rPr>
          <w:rFonts w:ascii="Barlow Medium" w:eastAsiaTheme="minorHAnsi" w:hAnsi="Barlow Medium" w:cs="Arial"/>
          <w:lang w:eastAsia="en-US"/>
        </w:rPr>
        <w:t xml:space="preserve"> su</w:t>
      </w:r>
      <w:r>
        <w:rPr>
          <w:rFonts w:ascii="Barlow Medium" w:eastAsiaTheme="minorHAnsi" w:hAnsi="Barlow Medium" w:cs="Arial"/>
          <w:spacing w:val="-49"/>
          <w:lang w:eastAsia="en-US"/>
        </w:rPr>
        <w:t xml:space="preserve"> </w:t>
      </w:r>
      <w:r>
        <w:rPr>
          <w:rFonts w:ascii="Barlow Medium" w:eastAsiaTheme="minorHAnsi" w:hAnsi="Barlow Medium" w:cs="Arial"/>
          <w:lang w:eastAsia="en-US"/>
        </w:rPr>
        <w:t>per</w:t>
      </w:r>
      <w:r>
        <w:rPr>
          <w:rFonts w:ascii="Barlow Medium" w:eastAsiaTheme="minorHAnsi" w:hAnsi="Barlow Medium" w:cs="Arial"/>
          <w:spacing w:val="1"/>
          <w:lang w:eastAsia="en-US"/>
        </w:rPr>
        <w:t>ti</w:t>
      </w:r>
      <w:r>
        <w:rPr>
          <w:rFonts w:ascii="Barlow Medium" w:eastAsiaTheme="minorHAnsi" w:hAnsi="Barlow Medium" w:cs="Arial"/>
          <w:lang w:eastAsia="en-US"/>
        </w:rPr>
        <w:t>nen</w:t>
      </w:r>
      <w:r>
        <w:rPr>
          <w:rFonts w:ascii="Barlow Medium" w:eastAsiaTheme="minorHAnsi" w:hAnsi="Barlow Medium" w:cs="Arial"/>
          <w:spacing w:val="-1"/>
          <w:lang w:eastAsia="en-US"/>
        </w:rPr>
        <w:t>c</w:t>
      </w:r>
      <w:r>
        <w:rPr>
          <w:rFonts w:ascii="Barlow Medium" w:eastAsiaTheme="minorHAnsi" w:hAnsi="Barlow Medium" w:cs="Arial"/>
          <w:lang w:eastAsia="en-US"/>
        </w:rPr>
        <w:t>ia,</w:t>
      </w:r>
      <w:r>
        <w:rPr>
          <w:rFonts w:ascii="Barlow Medium" w:eastAsiaTheme="minorHAnsi" w:hAnsi="Barlow Medium" w:cs="Arial"/>
          <w:spacing w:val="-25"/>
          <w:lang w:eastAsia="en-US"/>
        </w:rPr>
        <w:t xml:space="preserve"> </w:t>
      </w:r>
      <w:r>
        <w:rPr>
          <w:rFonts w:ascii="Barlow Medium" w:eastAsiaTheme="minorHAnsi" w:hAnsi="Barlow Medium" w:cs="Arial"/>
          <w:lang w:eastAsia="en-US"/>
        </w:rPr>
        <w:t>cobertura,</w:t>
      </w:r>
      <w:r>
        <w:rPr>
          <w:rFonts w:ascii="Barlow Medium" w:eastAsiaTheme="minorHAnsi" w:hAnsi="Barlow Medium" w:cs="Arial"/>
          <w:spacing w:val="-29"/>
          <w:lang w:eastAsia="en-US"/>
        </w:rPr>
        <w:t xml:space="preserve"> </w:t>
      </w:r>
      <w:r>
        <w:rPr>
          <w:rFonts w:ascii="Barlow Medium" w:eastAsiaTheme="minorHAnsi" w:hAnsi="Barlow Medium" w:cs="Arial"/>
          <w:lang w:eastAsia="en-US"/>
        </w:rPr>
        <w:t>efectividad</w:t>
      </w:r>
      <w:r>
        <w:rPr>
          <w:rFonts w:ascii="Barlow Medium" w:eastAsiaTheme="minorHAnsi" w:hAnsi="Barlow Medium" w:cs="Arial"/>
          <w:spacing w:val="-27"/>
          <w:lang w:eastAsia="en-US"/>
        </w:rPr>
        <w:t xml:space="preserve"> </w:t>
      </w:r>
      <w:r>
        <w:rPr>
          <w:rFonts w:ascii="Barlow Medium" w:eastAsiaTheme="minorHAnsi" w:hAnsi="Barlow Medium" w:cs="Arial"/>
          <w:lang w:eastAsia="en-US"/>
        </w:rPr>
        <w:t>y</w:t>
      </w:r>
      <w:r>
        <w:rPr>
          <w:rFonts w:ascii="Barlow Medium" w:eastAsiaTheme="minorHAnsi" w:hAnsi="Barlow Medium" w:cs="Arial"/>
          <w:spacing w:val="-53"/>
          <w:lang w:eastAsia="en-US"/>
        </w:rPr>
        <w:t xml:space="preserve"> </w:t>
      </w:r>
      <w:r>
        <w:rPr>
          <w:rFonts w:ascii="Barlow Medium" w:eastAsiaTheme="minorHAnsi" w:hAnsi="Barlow Medium" w:cs="Arial"/>
          <w:lang w:eastAsia="en-US"/>
        </w:rPr>
        <w:t>r</w:t>
      </w:r>
      <w:r>
        <w:rPr>
          <w:rFonts w:ascii="Barlow Medium" w:eastAsiaTheme="minorHAnsi" w:hAnsi="Barlow Medium" w:cs="Arial"/>
          <w:spacing w:val="1"/>
          <w:lang w:eastAsia="en-US"/>
        </w:rPr>
        <w:t>e</w:t>
      </w:r>
      <w:r>
        <w:rPr>
          <w:rFonts w:ascii="Barlow Medium" w:eastAsiaTheme="minorHAnsi" w:hAnsi="Barlow Medium" w:cs="Arial"/>
          <w:lang w:eastAsia="en-US"/>
        </w:rPr>
        <w:t>su</w:t>
      </w:r>
      <w:r>
        <w:rPr>
          <w:rFonts w:ascii="Barlow Medium" w:eastAsiaTheme="minorHAnsi" w:hAnsi="Barlow Medium" w:cs="Arial"/>
          <w:spacing w:val="-2"/>
          <w:lang w:eastAsia="en-US"/>
        </w:rPr>
        <w:t>l</w:t>
      </w:r>
      <w:r>
        <w:rPr>
          <w:rFonts w:ascii="Barlow Medium" w:eastAsiaTheme="minorHAnsi" w:hAnsi="Barlow Medium" w:cs="Arial"/>
          <w:lang w:eastAsia="en-US"/>
        </w:rPr>
        <w:t>ta</w:t>
      </w:r>
      <w:r>
        <w:rPr>
          <w:rFonts w:ascii="Barlow Medium" w:eastAsiaTheme="minorHAnsi" w:hAnsi="Barlow Medium" w:cs="Arial"/>
          <w:spacing w:val="1"/>
          <w:lang w:eastAsia="en-US"/>
        </w:rPr>
        <w:t>d</w:t>
      </w:r>
      <w:r>
        <w:rPr>
          <w:rFonts w:ascii="Barlow Medium" w:eastAsiaTheme="minorHAnsi" w:hAnsi="Barlow Medium" w:cs="Arial"/>
          <w:lang w:eastAsia="en-US"/>
        </w:rPr>
        <w:t xml:space="preserve">os, se considera </w:t>
      </w:r>
      <w:r>
        <w:rPr>
          <w:rFonts w:ascii="Barlow Medium" w:eastAsiaTheme="minorHAnsi" w:hAnsi="Barlow Medium" w:cs="Arial"/>
          <w:w w:val="103"/>
          <w:lang w:eastAsia="en-US"/>
        </w:rPr>
        <w:t xml:space="preserve">la </w:t>
      </w:r>
      <w:r>
        <w:rPr>
          <w:rFonts w:ascii="Barlow Medium" w:eastAsiaTheme="minorHAnsi" w:hAnsi="Barlow Medium" w:cs="Arial"/>
          <w:lang w:eastAsia="en-US"/>
        </w:rPr>
        <w:t>s</w:t>
      </w:r>
      <w:r>
        <w:rPr>
          <w:rFonts w:ascii="Barlow Medium" w:eastAsiaTheme="minorHAnsi" w:hAnsi="Barlow Medium" w:cs="Arial"/>
          <w:spacing w:val="-1"/>
          <w:lang w:eastAsia="en-US"/>
        </w:rPr>
        <w:t>i</w:t>
      </w:r>
      <w:r>
        <w:rPr>
          <w:rFonts w:ascii="Barlow Medium" w:eastAsiaTheme="minorHAnsi" w:hAnsi="Barlow Medium" w:cs="Arial"/>
          <w:lang w:eastAsia="en-US"/>
        </w:rPr>
        <w:t>g</w:t>
      </w:r>
      <w:r>
        <w:rPr>
          <w:rFonts w:ascii="Barlow Medium" w:eastAsiaTheme="minorHAnsi" w:hAnsi="Barlow Medium" w:cs="Arial"/>
          <w:spacing w:val="1"/>
          <w:lang w:eastAsia="en-US"/>
        </w:rPr>
        <w:t>u</w:t>
      </w:r>
      <w:r>
        <w:rPr>
          <w:rFonts w:ascii="Barlow Medium" w:eastAsiaTheme="minorHAnsi" w:hAnsi="Barlow Medium" w:cs="Arial"/>
          <w:lang w:eastAsia="en-US"/>
        </w:rPr>
        <w:t>iente</w:t>
      </w:r>
      <w:r>
        <w:rPr>
          <w:rFonts w:ascii="Barlow Medium" w:eastAsiaTheme="minorHAnsi" w:hAnsi="Barlow Medium" w:cs="Arial"/>
          <w:spacing w:val="26"/>
          <w:lang w:eastAsia="en-US"/>
        </w:rPr>
        <w:t xml:space="preserve"> </w:t>
      </w:r>
      <w:r>
        <w:rPr>
          <w:rFonts w:ascii="Barlow Medium" w:eastAsiaTheme="minorHAnsi" w:hAnsi="Barlow Medium" w:cs="Arial"/>
          <w:lang w:eastAsia="en-US"/>
        </w:rPr>
        <w:t>cl</w:t>
      </w:r>
      <w:r>
        <w:rPr>
          <w:rFonts w:ascii="Barlow Medium" w:eastAsiaTheme="minorHAnsi" w:hAnsi="Barlow Medium" w:cs="Arial"/>
          <w:spacing w:val="1"/>
          <w:lang w:eastAsia="en-US"/>
        </w:rPr>
        <w:t>a</w:t>
      </w:r>
      <w:r>
        <w:rPr>
          <w:rFonts w:ascii="Barlow Medium" w:eastAsiaTheme="minorHAnsi" w:hAnsi="Barlow Medium" w:cs="Arial"/>
          <w:spacing w:val="-1"/>
          <w:lang w:eastAsia="en-US"/>
        </w:rPr>
        <w:t>s</w:t>
      </w:r>
      <w:r>
        <w:rPr>
          <w:rFonts w:ascii="Barlow Medium" w:eastAsiaTheme="minorHAnsi" w:hAnsi="Barlow Medium" w:cs="Arial"/>
          <w:lang w:eastAsia="en-US"/>
        </w:rPr>
        <w:t>i</w:t>
      </w:r>
      <w:r>
        <w:rPr>
          <w:rFonts w:ascii="Barlow Medium" w:eastAsiaTheme="minorHAnsi" w:hAnsi="Barlow Medium" w:cs="Arial"/>
          <w:spacing w:val="1"/>
          <w:lang w:eastAsia="en-US"/>
        </w:rPr>
        <w:t>f</w:t>
      </w:r>
      <w:r>
        <w:rPr>
          <w:rFonts w:ascii="Barlow Medium" w:eastAsiaTheme="minorHAnsi" w:hAnsi="Barlow Medium" w:cs="Arial"/>
          <w:lang w:eastAsia="en-US"/>
        </w:rPr>
        <w:t>i</w:t>
      </w:r>
      <w:r>
        <w:rPr>
          <w:rFonts w:ascii="Barlow Medium" w:eastAsiaTheme="minorHAnsi" w:hAnsi="Barlow Medium" w:cs="Arial"/>
          <w:spacing w:val="-1"/>
          <w:lang w:eastAsia="en-US"/>
        </w:rPr>
        <w:t>c</w:t>
      </w:r>
      <w:r>
        <w:rPr>
          <w:rFonts w:ascii="Barlow Medium" w:eastAsiaTheme="minorHAnsi" w:hAnsi="Barlow Medium" w:cs="Arial"/>
          <w:lang w:eastAsia="en-US"/>
        </w:rPr>
        <w:t>ac</w:t>
      </w:r>
      <w:r>
        <w:rPr>
          <w:rFonts w:ascii="Barlow Medium" w:eastAsiaTheme="minorHAnsi" w:hAnsi="Barlow Medium" w:cs="Arial"/>
          <w:spacing w:val="-2"/>
          <w:lang w:eastAsia="en-US"/>
        </w:rPr>
        <w:t>i</w:t>
      </w:r>
      <w:r>
        <w:rPr>
          <w:rFonts w:ascii="Barlow Medium" w:eastAsiaTheme="minorHAnsi" w:hAnsi="Barlow Medium" w:cs="Arial"/>
          <w:lang w:eastAsia="en-US"/>
        </w:rPr>
        <w:t>ón</w:t>
      </w:r>
      <w:r>
        <w:rPr>
          <w:rFonts w:ascii="Barlow Medium" w:eastAsiaTheme="minorHAnsi" w:hAnsi="Barlow Medium" w:cs="Arial"/>
          <w:spacing w:val="34"/>
          <w:lang w:eastAsia="en-US"/>
        </w:rPr>
        <w:t xml:space="preserve"> </w:t>
      </w:r>
      <w:r>
        <w:rPr>
          <w:rFonts w:ascii="Barlow Medium" w:eastAsiaTheme="minorHAnsi" w:hAnsi="Barlow Medium" w:cs="Arial"/>
          <w:lang w:eastAsia="en-US"/>
        </w:rPr>
        <w:t>p</w:t>
      </w:r>
      <w:r>
        <w:rPr>
          <w:rFonts w:ascii="Barlow Medium" w:eastAsiaTheme="minorHAnsi" w:hAnsi="Barlow Medium" w:cs="Arial"/>
          <w:spacing w:val="2"/>
          <w:lang w:eastAsia="en-US"/>
        </w:rPr>
        <w:t>r</w:t>
      </w:r>
      <w:r>
        <w:rPr>
          <w:rFonts w:ascii="Barlow Medium" w:eastAsiaTheme="minorHAnsi" w:hAnsi="Barlow Medium" w:cs="Arial"/>
          <w:lang w:eastAsia="en-US"/>
        </w:rPr>
        <w:t>op</w:t>
      </w:r>
      <w:r>
        <w:rPr>
          <w:rFonts w:ascii="Barlow Medium" w:eastAsiaTheme="minorHAnsi" w:hAnsi="Barlow Medium" w:cs="Arial"/>
          <w:spacing w:val="-1"/>
          <w:lang w:eastAsia="en-US"/>
        </w:rPr>
        <w:t>u</w:t>
      </w:r>
      <w:r>
        <w:rPr>
          <w:rFonts w:ascii="Barlow Medium" w:eastAsiaTheme="minorHAnsi" w:hAnsi="Barlow Medium" w:cs="Arial"/>
          <w:lang w:eastAsia="en-US"/>
        </w:rPr>
        <w:t>esta</w:t>
      </w:r>
      <w:r>
        <w:rPr>
          <w:rFonts w:ascii="Barlow Medium" w:eastAsiaTheme="minorHAnsi" w:hAnsi="Barlow Medium" w:cs="Arial"/>
          <w:spacing w:val="29"/>
          <w:lang w:eastAsia="en-US"/>
        </w:rPr>
        <w:t xml:space="preserve"> </w:t>
      </w:r>
      <w:r>
        <w:rPr>
          <w:rFonts w:ascii="Barlow Medium" w:eastAsiaTheme="minorHAnsi" w:hAnsi="Barlow Medium" w:cs="Arial"/>
          <w:lang w:eastAsia="en-US"/>
        </w:rPr>
        <w:t>por</w:t>
      </w:r>
      <w:r>
        <w:rPr>
          <w:rFonts w:ascii="Barlow Medium" w:eastAsiaTheme="minorHAnsi" w:hAnsi="Barlow Medium" w:cs="Arial"/>
          <w:spacing w:val="11"/>
          <w:lang w:eastAsia="en-US"/>
        </w:rPr>
        <w:t xml:space="preserve"> </w:t>
      </w:r>
      <w:r>
        <w:rPr>
          <w:rFonts w:ascii="Barlow Medium" w:eastAsiaTheme="minorHAnsi" w:hAnsi="Barlow Medium" w:cs="Arial"/>
          <w:w w:val="103"/>
          <w:lang w:eastAsia="en-US"/>
        </w:rPr>
        <w:t>Unice</w:t>
      </w:r>
      <w:r>
        <w:rPr>
          <w:rFonts w:ascii="Barlow Medium" w:eastAsiaTheme="minorHAnsi" w:hAnsi="Barlow Medium" w:cs="Arial"/>
          <w:spacing w:val="1"/>
          <w:w w:val="103"/>
          <w:lang w:eastAsia="en-US"/>
        </w:rPr>
        <w:t>f</w:t>
      </w:r>
      <w:r>
        <w:rPr>
          <w:rFonts w:ascii="Barlow Medium" w:eastAsiaTheme="minorHAnsi" w:hAnsi="Barlow Medium" w:cs="Arial"/>
          <w:spacing w:val="1"/>
          <w:w w:val="103"/>
          <w:vertAlign w:val="superscript"/>
          <w:lang w:eastAsia="en-US"/>
        </w:rPr>
        <w:footnoteReference w:id="8"/>
      </w:r>
    </w:p>
    <w:p w:rsidR="004850C2" w:rsidRDefault="004850C2" w:rsidP="004850C2">
      <w:pPr>
        <w:widowControl w:val="0"/>
        <w:jc w:val="both"/>
        <w:rPr>
          <w:rFonts w:ascii="Barlow Medium" w:eastAsiaTheme="minorHAnsi" w:hAnsi="Barlow Medium" w:cs="Arial"/>
          <w:spacing w:val="1"/>
          <w:w w:val="103"/>
          <w:lang w:eastAsia="en-US"/>
        </w:rPr>
      </w:pPr>
    </w:p>
    <w:tbl>
      <w:tblPr>
        <w:tblW w:w="8755" w:type="dxa"/>
        <w:tblLook w:val="04A0"/>
      </w:tblPr>
      <w:tblGrid>
        <w:gridCol w:w="1899"/>
        <w:gridCol w:w="6856"/>
      </w:tblGrid>
      <w:tr w:rsidR="004850C2" w:rsidTr="004850C2">
        <w:trPr>
          <w:trHeight w:val="866"/>
        </w:trPr>
        <w:tc>
          <w:tcPr>
            <w:tcW w:w="1899" w:type="dxa"/>
          </w:tcPr>
          <w:p w:rsidR="004850C2" w:rsidRDefault="004850C2">
            <w:pPr>
              <w:rPr>
                <w:rFonts w:ascii="Barlow Medium" w:eastAsia="Times New Roman" w:hAnsi="Barlow Medium"/>
                <w:color w:val="000000"/>
                <w:sz w:val="20"/>
                <w:szCs w:val="20"/>
              </w:rPr>
            </w:pPr>
          </w:p>
          <w:p w:rsidR="004850C2" w:rsidRDefault="004850C2">
            <w:pPr>
              <w:rPr>
                <w:rFonts w:ascii="Barlow Medium" w:eastAsia="Times New Roman" w:hAnsi="Barlow Medium"/>
                <w:color w:val="000000"/>
                <w:sz w:val="20"/>
                <w:szCs w:val="20"/>
              </w:rPr>
            </w:pPr>
            <w:r>
              <w:rPr>
                <w:rFonts w:ascii="Barlow Medium" w:eastAsia="Times New Roman" w:hAnsi="Barlow Medium"/>
                <w:color w:val="000000"/>
                <w:sz w:val="20"/>
                <w:szCs w:val="20"/>
              </w:rPr>
              <w:t>Inversión  Específica</w:t>
            </w:r>
          </w:p>
        </w:tc>
        <w:tc>
          <w:tcPr>
            <w:tcW w:w="6856" w:type="dxa"/>
          </w:tcPr>
          <w:p w:rsidR="004850C2" w:rsidRDefault="004850C2">
            <w:pPr>
              <w:jc w:val="both"/>
              <w:rPr>
                <w:rFonts w:ascii="Barlow Medium" w:eastAsia="Times New Roman" w:hAnsi="Barlow Medium"/>
                <w:color w:val="000000"/>
                <w:sz w:val="20"/>
                <w:szCs w:val="20"/>
              </w:rPr>
            </w:pPr>
          </w:p>
          <w:p w:rsidR="004850C2" w:rsidRDefault="004850C2">
            <w:pPr>
              <w:jc w:val="both"/>
              <w:rPr>
                <w:rFonts w:ascii="Barlow Medium" w:eastAsia="Times New Roman" w:hAnsi="Barlow Medium"/>
                <w:color w:val="000000"/>
                <w:sz w:val="20"/>
                <w:szCs w:val="20"/>
              </w:rPr>
            </w:pPr>
            <w:r>
              <w:rPr>
                <w:rFonts w:ascii="Barlow Medium" w:eastAsia="Times New Roman" w:hAnsi="Barlow Medium"/>
                <w:color w:val="000000"/>
                <w:sz w:val="20"/>
                <w:szCs w:val="20"/>
              </w:rPr>
              <w:t>Son los recursos que destina el sector público dirigidas a financiar programas presupuestarios cuya población objetivo se encuentra entre 12 a 29 años.</w:t>
            </w:r>
          </w:p>
        </w:tc>
      </w:tr>
      <w:tr w:rsidR="004850C2" w:rsidTr="004850C2">
        <w:trPr>
          <w:trHeight w:val="791"/>
        </w:trPr>
        <w:tc>
          <w:tcPr>
            <w:tcW w:w="1899" w:type="dxa"/>
            <w:tcBorders>
              <w:top w:val="nil"/>
              <w:bottom w:val="nil"/>
            </w:tcBorders>
            <w:shd w:val="clear" w:color="auto" w:fill="F2F2F2" w:themeFill="background1" w:themeFillShade="F2"/>
          </w:tcPr>
          <w:p w:rsidR="004850C2" w:rsidRDefault="004850C2">
            <w:pPr>
              <w:rPr>
                <w:rFonts w:ascii="Barlow Medium" w:eastAsia="Times New Roman" w:hAnsi="Barlow Medium"/>
                <w:color w:val="000000"/>
                <w:sz w:val="20"/>
                <w:szCs w:val="20"/>
              </w:rPr>
            </w:pPr>
          </w:p>
          <w:p w:rsidR="004850C2" w:rsidRDefault="004850C2">
            <w:pPr>
              <w:rPr>
                <w:rFonts w:ascii="Barlow Medium" w:eastAsia="Times New Roman" w:hAnsi="Barlow Medium"/>
                <w:color w:val="000000"/>
                <w:sz w:val="20"/>
                <w:szCs w:val="20"/>
              </w:rPr>
            </w:pPr>
            <w:r>
              <w:rPr>
                <w:rFonts w:ascii="Barlow Medium" w:eastAsia="Times New Roman" w:hAnsi="Barlow Medium"/>
                <w:color w:val="000000"/>
                <w:sz w:val="20"/>
                <w:szCs w:val="20"/>
              </w:rPr>
              <w:t>Inversión Agéntica</w:t>
            </w:r>
          </w:p>
        </w:tc>
        <w:tc>
          <w:tcPr>
            <w:tcW w:w="6856" w:type="dxa"/>
            <w:tcBorders>
              <w:top w:val="nil"/>
              <w:bottom w:val="nil"/>
            </w:tcBorders>
            <w:shd w:val="clear" w:color="auto" w:fill="F2F2F2" w:themeFill="background1" w:themeFillShade="F2"/>
          </w:tcPr>
          <w:p w:rsidR="004850C2" w:rsidRDefault="004850C2">
            <w:pPr>
              <w:jc w:val="both"/>
              <w:rPr>
                <w:rFonts w:ascii="Barlow Medium" w:eastAsia="Times New Roman" w:hAnsi="Barlow Medium"/>
                <w:color w:val="000000"/>
                <w:sz w:val="20"/>
                <w:szCs w:val="20"/>
              </w:rPr>
            </w:pPr>
          </w:p>
          <w:p w:rsidR="004850C2" w:rsidRDefault="004850C2">
            <w:pPr>
              <w:jc w:val="both"/>
              <w:rPr>
                <w:rFonts w:ascii="Barlow Medium" w:eastAsia="Times New Roman" w:hAnsi="Barlow Medium"/>
                <w:color w:val="000000"/>
                <w:sz w:val="20"/>
                <w:szCs w:val="20"/>
              </w:rPr>
            </w:pPr>
            <w:r>
              <w:rPr>
                <w:rFonts w:ascii="Barlow Medium" w:eastAsia="Times New Roman" w:hAnsi="Barlow Medium"/>
                <w:color w:val="000000"/>
                <w:sz w:val="20"/>
                <w:szCs w:val="20"/>
              </w:rPr>
              <w:t>Es la inversión destinada directamente al fortalecimiento de los agentes que contribuyen al desarrollo de los jóvenes, como maestros, tutores y padres de familia.</w:t>
            </w:r>
          </w:p>
        </w:tc>
      </w:tr>
      <w:tr w:rsidR="004850C2" w:rsidTr="004850C2">
        <w:trPr>
          <w:trHeight w:val="850"/>
        </w:trPr>
        <w:tc>
          <w:tcPr>
            <w:tcW w:w="1899" w:type="dxa"/>
            <w:tcBorders>
              <w:top w:val="nil"/>
              <w:left w:val="nil"/>
              <w:bottom w:val="nil"/>
              <w:right w:val="nil"/>
            </w:tcBorders>
          </w:tcPr>
          <w:p w:rsidR="004850C2" w:rsidRDefault="004850C2">
            <w:pPr>
              <w:rPr>
                <w:rFonts w:ascii="Barlow Medium" w:eastAsia="Times New Roman" w:hAnsi="Barlow Medium"/>
                <w:color w:val="000000"/>
                <w:sz w:val="20"/>
                <w:szCs w:val="20"/>
              </w:rPr>
            </w:pPr>
          </w:p>
          <w:p w:rsidR="004850C2" w:rsidRDefault="004850C2">
            <w:pPr>
              <w:rPr>
                <w:rFonts w:ascii="Barlow Medium" w:eastAsia="Times New Roman" w:hAnsi="Barlow Medium"/>
                <w:color w:val="000000"/>
                <w:sz w:val="20"/>
                <w:szCs w:val="20"/>
              </w:rPr>
            </w:pPr>
            <w:r>
              <w:rPr>
                <w:rFonts w:ascii="Barlow Medium" w:eastAsia="Times New Roman" w:hAnsi="Barlow Medium"/>
                <w:color w:val="000000"/>
                <w:sz w:val="20"/>
                <w:szCs w:val="20"/>
              </w:rPr>
              <w:t>Inversión en Bienes Públicos</w:t>
            </w:r>
          </w:p>
        </w:tc>
        <w:tc>
          <w:tcPr>
            <w:tcW w:w="6856" w:type="dxa"/>
            <w:tcBorders>
              <w:top w:val="nil"/>
              <w:left w:val="nil"/>
              <w:bottom w:val="nil"/>
              <w:right w:val="nil"/>
            </w:tcBorders>
          </w:tcPr>
          <w:p w:rsidR="004850C2" w:rsidRDefault="004850C2">
            <w:pPr>
              <w:jc w:val="both"/>
              <w:rPr>
                <w:rFonts w:ascii="Barlow Medium" w:eastAsia="Times New Roman" w:hAnsi="Barlow Medium"/>
                <w:color w:val="000000"/>
                <w:sz w:val="20"/>
                <w:szCs w:val="20"/>
              </w:rPr>
            </w:pPr>
          </w:p>
          <w:p w:rsidR="004850C2" w:rsidRDefault="004850C2">
            <w:pPr>
              <w:jc w:val="both"/>
              <w:rPr>
                <w:rFonts w:ascii="Barlow Medium" w:eastAsia="Times New Roman" w:hAnsi="Barlow Medium"/>
                <w:color w:val="000000"/>
                <w:sz w:val="20"/>
                <w:szCs w:val="20"/>
              </w:rPr>
            </w:pPr>
            <w:r>
              <w:rPr>
                <w:rFonts w:ascii="Barlow Medium" w:eastAsia="Times New Roman" w:hAnsi="Barlow Medium"/>
                <w:color w:val="000000"/>
                <w:sz w:val="20"/>
                <w:szCs w:val="20"/>
              </w:rPr>
              <w:t>Incluye la inversión destinada a la construcción, ampliación, adquisición, modificación, mantenimiento o conservación, como son los centros educativos y lugares de dominio público.</w:t>
            </w:r>
          </w:p>
        </w:tc>
      </w:tr>
      <w:tr w:rsidR="004850C2" w:rsidTr="004850C2">
        <w:trPr>
          <w:trHeight w:val="798"/>
        </w:trPr>
        <w:tc>
          <w:tcPr>
            <w:tcW w:w="1899" w:type="dxa"/>
            <w:tcBorders>
              <w:top w:val="nil"/>
              <w:bottom w:val="single" w:sz="8" w:space="0" w:color="5AA2AE" w:themeColor="accent5"/>
            </w:tcBorders>
            <w:shd w:val="clear" w:color="auto" w:fill="F2F2F2" w:themeFill="background1" w:themeFillShade="F2"/>
          </w:tcPr>
          <w:p w:rsidR="004850C2" w:rsidRDefault="004850C2">
            <w:pPr>
              <w:rPr>
                <w:rFonts w:ascii="Barlow Medium" w:eastAsia="Times New Roman" w:hAnsi="Barlow Medium"/>
                <w:color w:val="000000"/>
                <w:sz w:val="20"/>
                <w:szCs w:val="20"/>
              </w:rPr>
            </w:pPr>
          </w:p>
          <w:p w:rsidR="004850C2" w:rsidRDefault="004850C2">
            <w:pPr>
              <w:rPr>
                <w:rFonts w:ascii="Barlow Medium" w:eastAsia="Times New Roman" w:hAnsi="Barlow Medium"/>
                <w:color w:val="000000"/>
                <w:sz w:val="20"/>
                <w:szCs w:val="20"/>
              </w:rPr>
            </w:pPr>
            <w:r>
              <w:rPr>
                <w:rFonts w:ascii="Barlow Medium" w:eastAsia="Times New Roman" w:hAnsi="Barlow Medium"/>
                <w:color w:val="000000"/>
                <w:sz w:val="20"/>
                <w:szCs w:val="20"/>
              </w:rPr>
              <w:t>Inversión Ampliada</w:t>
            </w:r>
          </w:p>
        </w:tc>
        <w:tc>
          <w:tcPr>
            <w:tcW w:w="6856" w:type="dxa"/>
            <w:tcBorders>
              <w:top w:val="nil"/>
              <w:bottom w:val="single" w:sz="8" w:space="0" w:color="5AA2AE" w:themeColor="accent5"/>
            </w:tcBorders>
            <w:shd w:val="clear" w:color="auto" w:fill="F2F2F2" w:themeFill="background1" w:themeFillShade="F2"/>
          </w:tcPr>
          <w:p w:rsidR="004850C2" w:rsidRDefault="004850C2">
            <w:pPr>
              <w:jc w:val="both"/>
              <w:rPr>
                <w:rFonts w:ascii="Barlow Medium" w:eastAsia="Times New Roman" w:hAnsi="Barlow Medium"/>
                <w:color w:val="000000"/>
                <w:sz w:val="20"/>
                <w:szCs w:val="20"/>
              </w:rPr>
            </w:pPr>
          </w:p>
          <w:p w:rsidR="004850C2" w:rsidRDefault="004850C2">
            <w:pPr>
              <w:jc w:val="both"/>
              <w:rPr>
                <w:rFonts w:ascii="Barlow Medium" w:eastAsia="Times New Roman" w:hAnsi="Barlow Medium"/>
                <w:color w:val="000000"/>
                <w:sz w:val="20"/>
                <w:szCs w:val="20"/>
              </w:rPr>
            </w:pPr>
            <w:r>
              <w:rPr>
                <w:rFonts w:ascii="Barlow Medium" w:eastAsia="Times New Roman" w:hAnsi="Barlow Medium"/>
                <w:color w:val="000000"/>
                <w:sz w:val="20"/>
                <w:szCs w:val="20"/>
              </w:rPr>
              <w:t>Es la inversión destinada a financiar programas (o partes de programas) que atienden a los jóvenes, y que representan una fracción importante de la población objetivo y atendida.</w:t>
            </w:r>
          </w:p>
        </w:tc>
      </w:tr>
    </w:tbl>
    <w:p w:rsidR="004850C2" w:rsidRDefault="004850C2" w:rsidP="004850C2">
      <w:pPr>
        <w:widowControl w:val="0"/>
        <w:jc w:val="both"/>
        <w:rPr>
          <w:rFonts w:ascii="Barlow Medium" w:eastAsiaTheme="minorHAnsi" w:hAnsi="Barlow Medium" w:cs="Arial"/>
          <w:b/>
          <w:i/>
          <w:lang w:eastAsia="en-US"/>
        </w:rPr>
      </w:pPr>
    </w:p>
    <w:p w:rsidR="004850C2" w:rsidRDefault="004850C2" w:rsidP="00E22205">
      <w:pPr>
        <w:widowControl w:val="0"/>
        <w:numPr>
          <w:ilvl w:val="0"/>
          <w:numId w:val="37"/>
        </w:numPr>
        <w:spacing w:after="200" w:line="276" w:lineRule="auto"/>
        <w:jc w:val="both"/>
        <w:rPr>
          <w:rFonts w:ascii="Barlow Medium" w:eastAsiaTheme="minorHAnsi" w:hAnsi="Barlow Medium" w:cs="Arial"/>
          <w:b/>
          <w:i/>
          <w:lang w:eastAsia="en-US"/>
        </w:rPr>
      </w:pPr>
      <w:r>
        <w:rPr>
          <w:rFonts w:ascii="Barlow Medium" w:eastAsiaTheme="minorHAnsi" w:hAnsi="Barlow Medium" w:cs="Arial"/>
          <w:b/>
          <w:i/>
          <w:lang w:eastAsia="en-US"/>
        </w:rPr>
        <w:t>Análisis de Objetivos de Desarrollo Sostenible (ODS)</w:t>
      </w:r>
      <w:r>
        <w:rPr>
          <w:rFonts w:ascii="Barlow Medium" w:eastAsia="Arial" w:hAnsi="Barlow Medium" w:cs="Arial"/>
          <w:vertAlign w:val="superscript"/>
          <w:lang w:eastAsia="en-US"/>
        </w:rPr>
        <w:footnoteReference w:id="9"/>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Para este año se incluye el análisis  de los Objetivos de Desarrollo Sostenible que impactan directamente a la juventud. 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Pr>
          <w:rFonts w:ascii="Barlow Medium" w:eastAsia="Arial" w:hAnsi="Barlow Medium" w:cs="Arial"/>
          <w:vertAlign w:val="superscript"/>
          <w:lang w:eastAsia="en-US"/>
        </w:rPr>
        <w:footnoteReference w:id="10"/>
      </w:r>
      <w:r>
        <w:rPr>
          <w:rFonts w:ascii="Barlow Medium" w:eastAsia="Arial" w:hAnsi="Barlow Medium" w:cs="Arial"/>
          <w:lang w:eastAsia="en-US"/>
        </w:rPr>
        <w:t>.</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rsidR="004850C2" w:rsidRDefault="004850C2" w:rsidP="004850C2">
      <w:pPr>
        <w:widowControl w:val="0"/>
        <w:jc w:val="both"/>
        <w:rPr>
          <w:rFonts w:ascii="Barlow Medium" w:eastAsiaTheme="minorHAnsi" w:hAnsi="Barlow Medium" w:cs="Arial"/>
          <w:b/>
          <w:lang w:eastAsia="en-US"/>
        </w:rPr>
      </w:pPr>
      <w:r>
        <w:rPr>
          <w:rFonts w:ascii="Barlow Medium" w:eastAsiaTheme="minorHAnsi" w:hAnsi="Barlow Medium" w:cs="Arial"/>
          <w:b/>
          <w:lang w:eastAsia="en-US"/>
        </w:rPr>
        <w:t>Análisis de Resultados</w:t>
      </w:r>
    </w:p>
    <w:p w:rsidR="004850C2" w:rsidRDefault="004850C2" w:rsidP="004850C2">
      <w:pPr>
        <w:widowControl w:val="0"/>
        <w:jc w:val="both"/>
        <w:rPr>
          <w:rFonts w:ascii="Barlow Medium" w:eastAsia="Arial" w:hAnsi="Barlow Medium" w:cs="Arial"/>
          <w:spacing w:val="23"/>
          <w:lang w:eastAsia="en-US"/>
        </w:rPr>
      </w:pPr>
      <w:r>
        <w:rPr>
          <w:rFonts w:ascii="Barlow Medium" w:eastAsia="Arial" w:hAnsi="Barlow Medium" w:cs="Arial"/>
          <w:lang w:eastAsia="en-US"/>
        </w:rPr>
        <w:t xml:space="preserve">En 2019 </w:t>
      </w:r>
      <w:r>
        <w:rPr>
          <w:rFonts w:ascii="Barlow Medium" w:eastAsia="Arial" w:hAnsi="Barlow Medium" w:cs="Arial"/>
          <w:spacing w:val="1"/>
          <w:lang w:eastAsia="en-US"/>
        </w:rPr>
        <w:t>s</w:t>
      </w:r>
      <w:r>
        <w:rPr>
          <w:rFonts w:ascii="Barlow Medium" w:eastAsia="Arial" w:hAnsi="Barlow Medium" w:cs="Arial"/>
          <w:lang w:eastAsia="en-US"/>
        </w:rPr>
        <w:t>e dest</w:t>
      </w:r>
      <w:r>
        <w:rPr>
          <w:rFonts w:ascii="Barlow Medium" w:eastAsia="Arial" w:hAnsi="Barlow Medium" w:cs="Arial"/>
          <w:spacing w:val="-2"/>
          <w:lang w:eastAsia="en-US"/>
        </w:rPr>
        <w:t>i</w:t>
      </w:r>
      <w:r>
        <w:rPr>
          <w:rFonts w:ascii="Barlow Medium" w:eastAsia="Arial" w:hAnsi="Barlow Medium" w:cs="Arial"/>
          <w:lang w:eastAsia="en-US"/>
        </w:rPr>
        <w:t xml:space="preserve">na una </w:t>
      </w:r>
      <w:r>
        <w:rPr>
          <w:rFonts w:ascii="Barlow Medium" w:eastAsia="Arial" w:hAnsi="Barlow Medium" w:cs="Arial"/>
          <w:spacing w:val="-1"/>
          <w:lang w:eastAsia="en-US"/>
        </w:rPr>
        <w:t>i</w:t>
      </w:r>
      <w:r>
        <w:rPr>
          <w:rFonts w:ascii="Barlow Medium" w:eastAsia="Arial" w:hAnsi="Barlow Medium" w:cs="Arial"/>
          <w:spacing w:val="1"/>
          <w:lang w:eastAsia="en-US"/>
        </w:rPr>
        <w:t>n</w:t>
      </w:r>
      <w:r>
        <w:rPr>
          <w:rFonts w:ascii="Barlow Medium" w:eastAsia="Arial" w:hAnsi="Barlow Medium" w:cs="Arial"/>
          <w:spacing w:val="-1"/>
          <w:lang w:eastAsia="en-US"/>
        </w:rPr>
        <w:t>v</w:t>
      </w:r>
      <w:r>
        <w:rPr>
          <w:rFonts w:ascii="Barlow Medium" w:eastAsia="Arial" w:hAnsi="Barlow Medium" w:cs="Arial"/>
          <w:lang w:eastAsia="en-US"/>
        </w:rPr>
        <w:t>er</w:t>
      </w:r>
      <w:r>
        <w:rPr>
          <w:rFonts w:ascii="Barlow Medium" w:eastAsia="Arial" w:hAnsi="Barlow Medium" w:cs="Arial"/>
          <w:spacing w:val="1"/>
          <w:lang w:eastAsia="en-US"/>
        </w:rPr>
        <w:t>s</w:t>
      </w:r>
      <w:r>
        <w:rPr>
          <w:rFonts w:ascii="Barlow Medium" w:eastAsia="Arial" w:hAnsi="Barlow Medium" w:cs="Arial"/>
          <w:lang w:eastAsia="en-US"/>
        </w:rPr>
        <w:t>ión en j</w:t>
      </w:r>
      <w:r>
        <w:rPr>
          <w:rFonts w:ascii="Barlow Medium" w:eastAsia="Arial" w:hAnsi="Barlow Medium" w:cs="Arial"/>
          <w:spacing w:val="2"/>
          <w:lang w:eastAsia="en-US"/>
        </w:rPr>
        <w:t>ó</w:t>
      </w:r>
      <w:r>
        <w:rPr>
          <w:rFonts w:ascii="Barlow Medium" w:eastAsia="Arial" w:hAnsi="Barlow Medium" w:cs="Arial"/>
          <w:spacing w:val="-1"/>
          <w:lang w:eastAsia="en-US"/>
        </w:rPr>
        <w:t>v</w:t>
      </w:r>
      <w:r>
        <w:rPr>
          <w:rFonts w:ascii="Barlow Medium" w:eastAsia="Arial" w:hAnsi="Barlow Medium" w:cs="Arial"/>
          <w:lang w:eastAsia="en-US"/>
        </w:rPr>
        <w:t>enes de 6 mil</w:t>
      </w:r>
      <w:r>
        <w:rPr>
          <w:rFonts w:ascii="Barlow Medium" w:eastAsia="Arial" w:hAnsi="Barlow Medium" w:cs="Arial"/>
          <w:spacing w:val="16"/>
          <w:lang w:eastAsia="en-US"/>
        </w:rPr>
        <w:t xml:space="preserve"> 105</w:t>
      </w:r>
      <w:r>
        <w:rPr>
          <w:rFonts w:ascii="Barlow Medium" w:eastAsia="Arial" w:hAnsi="Barlow Medium" w:cs="Arial"/>
          <w:lang w:eastAsia="en-US"/>
        </w:rPr>
        <w:t xml:space="preserve"> millon</w:t>
      </w:r>
      <w:r>
        <w:rPr>
          <w:rFonts w:ascii="Barlow Medium" w:eastAsia="Arial" w:hAnsi="Barlow Medium" w:cs="Arial"/>
          <w:spacing w:val="-1"/>
          <w:lang w:eastAsia="en-US"/>
        </w:rPr>
        <w:t>e</w:t>
      </w:r>
      <w:r>
        <w:rPr>
          <w:rFonts w:ascii="Barlow Medium" w:eastAsia="Arial" w:hAnsi="Barlow Medium" w:cs="Arial"/>
          <w:lang w:eastAsia="en-US"/>
        </w:rPr>
        <w:t>s 066</w:t>
      </w:r>
      <w:r>
        <w:rPr>
          <w:rFonts w:ascii="Barlow Medium" w:eastAsia="Arial" w:hAnsi="Barlow Medium" w:cs="Arial"/>
          <w:spacing w:val="18"/>
          <w:lang w:eastAsia="en-US"/>
        </w:rPr>
        <w:t xml:space="preserve"> </w:t>
      </w:r>
      <w:r>
        <w:rPr>
          <w:rFonts w:ascii="Barlow Medium" w:eastAsia="Arial" w:hAnsi="Barlow Medium" w:cs="Arial"/>
          <w:lang w:eastAsia="en-US"/>
        </w:rPr>
        <w:t>mil 815 pe</w:t>
      </w:r>
      <w:r>
        <w:rPr>
          <w:rFonts w:ascii="Barlow Medium" w:eastAsia="Arial" w:hAnsi="Barlow Medium" w:cs="Arial"/>
          <w:spacing w:val="-1"/>
          <w:lang w:eastAsia="en-US"/>
        </w:rPr>
        <w:t>s</w:t>
      </w:r>
      <w:r>
        <w:rPr>
          <w:rFonts w:ascii="Barlow Medium" w:eastAsia="Arial" w:hAnsi="Barlow Medium" w:cs="Arial"/>
          <w:lang w:eastAsia="en-US"/>
        </w:rPr>
        <w:t>os,</w:t>
      </w:r>
      <w:r>
        <w:rPr>
          <w:rFonts w:ascii="Barlow Medium" w:eastAsia="Arial" w:hAnsi="Barlow Medium" w:cs="Arial"/>
          <w:spacing w:val="54"/>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o</w:t>
      </w:r>
      <w:r>
        <w:rPr>
          <w:rFonts w:ascii="Barlow Medium" w:eastAsia="Arial" w:hAnsi="Barlow Medium" w:cs="Arial"/>
          <w:spacing w:val="41"/>
          <w:lang w:eastAsia="en-US"/>
        </w:rPr>
        <w:t xml:space="preserve"> </w:t>
      </w:r>
      <w:r>
        <w:rPr>
          <w:rFonts w:ascii="Barlow Medium" w:eastAsia="Arial" w:hAnsi="Barlow Medium" w:cs="Arial"/>
          <w:spacing w:val="-1"/>
          <w:lang w:eastAsia="en-US"/>
        </w:rPr>
        <w:t>c</w:t>
      </w:r>
      <w:r>
        <w:rPr>
          <w:rFonts w:ascii="Barlow Medium" w:eastAsia="Arial" w:hAnsi="Barlow Medium" w:cs="Arial"/>
          <w:lang w:eastAsia="en-US"/>
        </w:rPr>
        <w:t>ual re</w:t>
      </w:r>
      <w:r>
        <w:rPr>
          <w:rFonts w:ascii="Barlow Medium" w:eastAsia="Arial" w:hAnsi="Barlow Medium" w:cs="Arial"/>
          <w:spacing w:val="-1"/>
          <w:lang w:eastAsia="en-US"/>
        </w:rPr>
        <w:t>p</w:t>
      </w:r>
      <w:r>
        <w:rPr>
          <w:rFonts w:ascii="Barlow Medium" w:eastAsia="Arial" w:hAnsi="Barlow Medium" w:cs="Arial"/>
          <w:spacing w:val="1"/>
          <w:lang w:eastAsia="en-US"/>
        </w:rPr>
        <w:t>r</w:t>
      </w:r>
      <w:r>
        <w:rPr>
          <w:rFonts w:ascii="Barlow Medium" w:eastAsia="Arial" w:hAnsi="Barlow Medium" w:cs="Arial"/>
          <w:lang w:eastAsia="en-US"/>
        </w:rPr>
        <w:t>e</w:t>
      </w:r>
      <w:r>
        <w:rPr>
          <w:rFonts w:ascii="Barlow Medium" w:eastAsia="Arial" w:hAnsi="Barlow Medium" w:cs="Arial"/>
          <w:spacing w:val="-1"/>
          <w:lang w:eastAsia="en-US"/>
        </w:rPr>
        <w:t>s</w:t>
      </w:r>
      <w:r>
        <w:rPr>
          <w:rFonts w:ascii="Barlow Medium" w:eastAsia="Arial" w:hAnsi="Barlow Medium" w:cs="Arial"/>
          <w:lang w:eastAsia="en-US"/>
        </w:rPr>
        <w:t>enta</w:t>
      </w:r>
      <w:r>
        <w:rPr>
          <w:rFonts w:ascii="Barlow Medium" w:eastAsia="Arial" w:hAnsi="Barlow Medium" w:cs="Arial"/>
          <w:spacing w:val="10"/>
          <w:lang w:eastAsia="en-US"/>
        </w:rPr>
        <w:t xml:space="preserve"> </w:t>
      </w:r>
      <w:r>
        <w:rPr>
          <w:rFonts w:ascii="Barlow Medium" w:eastAsia="Arial" w:hAnsi="Barlow Medium" w:cs="Arial"/>
          <w:lang w:eastAsia="en-US"/>
        </w:rPr>
        <w:t xml:space="preserve">un aumento del </w:t>
      </w:r>
      <w:r>
        <w:rPr>
          <w:rFonts w:ascii="Barlow Medium" w:eastAsia="Arial" w:hAnsi="Barlow Medium" w:cs="Arial"/>
          <w:spacing w:val="39"/>
          <w:lang w:eastAsia="en-US"/>
        </w:rPr>
        <w:t xml:space="preserve"> </w:t>
      </w:r>
      <w:r>
        <w:rPr>
          <w:rFonts w:ascii="Barlow Medium" w:eastAsia="Arial" w:hAnsi="Barlow Medium" w:cs="Arial"/>
          <w:lang w:eastAsia="en-US"/>
        </w:rPr>
        <w:t>15.01% re</w:t>
      </w:r>
      <w:r>
        <w:rPr>
          <w:rFonts w:ascii="Barlow Medium" w:eastAsia="Arial" w:hAnsi="Barlow Medium" w:cs="Arial"/>
          <w:spacing w:val="-1"/>
          <w:lang w:eastAsia="en-US"/>
        </w:rPr>
        <w:t>s</w:t>
      </w:r>
      <w:r>
        <w:rPr>
          <w:rFonts w:ascii="Barlow Medium" w:eastAsia="Arial" w:hAnsi="Barlow Medium" w:cs="Arial"/>
          <w:lang w:eastAsia="en-US"/>
        </w:rPr>
        <w:t>pecto</w:t>
      </w:r>
      <w:r>
        <w:rPr>
          <w:rFonts w:ascii="Barlow Medium" w:eastAsia="Arial" w:hAnsi="Barlow Medium" w:cs="Arial"/>
          <w:spacing w:val="3"/>
          <w:lang w:eastAsia="en-US"/>
        </w:rPr>
        <w:t xml:space="preserve"> </w:t>
      </w:r>
      <w:r>
        <w:rPr>
          <w:rFonts w:ascii="Barlow Medium" w:eastAsia="Arial" w:hAnsi="Barlow Medium" w:cs="Arial"/>
          <w:lang w:eastAsia="en-US"/>
        </w:rPr>
        <w:t>al</w:t>
      </w:r>
      <w:r>
        <w:rPr>
          <w:rFonts w:ascii="Barlow Medium" w:eastAsia="Arial" w:hAnsi="Barlow Medium" w:cs="Arial"/>
          <w:spacing w:val="41"/>
          <w:lang w:eastAsia="en-US"/>
        </w:rPr>
        <w:t xml:space="preserve"> </w:t>
      </w:r>
      <w:r>
        <w:rPr>
          <w:rFonts w:ascii="Barlow Medium" w:eastAsia="Arial" w:hAnsi="Barlow Medium" w:cs="Arial"/>
          <w:lang w:eastAsia="en-US"/>
        </w:rPr>
        <w:t>total del Pre</w:t>
      </w:r>
      <w:r>
        <w:rPr>
          <w:rFonts w:ascii="Barlow Medium" w:eastAsia="Arial" w:hAnsi="Barlow Medium" w:cs="Arial"/>
          <w:spacing w:val="-1"/>
          <w:lang w:eastAsia="en-US"/>
        </w:rPr>
        <w:t>s</w:t>
      </w:r>
      <w:r>
        <w:rPr>
          <w:rFonts w:ascii="Barlow Medium" w:eastAsia="Arial" w:hAnsi="Barlow Medium" w:cs="Arial"/>
          <w:lang w:eastAsia="en-US"/>
        </w:rPr>
        <w:t>upues</w:t>
      </w:r>
      <w:r>
        <w:rPr>
          <w:rFonts w:ascii="Barlow Medium" w:eastAsia="Arial" w:hAnsi="Barlow Medium" w:cs="Arial"/>
          <w:spacing w:val="1"/>
          <w:lang w:eastAsia="en-US"/>
        </w:rPr>
        <w:t>t</w:t>
      </w:r>
      <w:r>
        <w:rPr>
          <w:rFonts w:ascii="Barlow Medium" w:eastAsia="Arial" w:hAnsi="Barlow Medium" w:cs="Arial"/>
          <w:lang w:eastAsia="en-US"/>
        </w:rPr>
        <w:t xml:space="preserve">o </w:t>
      </w:r>
      <w:r>
        <w:rPr>
          <w:rFonts w:ascii="Barlow Medium" w:eastAsia="Arial" w:hAnsi="Barlow Medium" w:cs="Arial"/>
          <w:w w:val="103"/>
          <w:lang w:eastAsia="en-US"/>
        </w:rPr>
        <w:t xml:space="preserve">de </w:t>
      </w:r>
      <w:r>
        <w:rPr>
          <w:rFonts w:ascii="Barlow Medium" w:eastAsia="Arial" w:hAnsi="Barlow Medium" w:cs="Arial"/>
          <w:lang w:eastAsia="en-US"/>
        </w:rPr>
        <w:t>Egresos</w:t>
      </w:r>
      <w:r>
        <w:rPr>
          <w:rFonts w:ascii="Barlow Medium" w:eastAsia="Arial" w:hAnsi="Barlow Medium" w:cs="Arial"/>
          <w:spacing w:val="37"/>
          <w:lang w:eastAsia="en-US"/>
        </w:rPr>
        <w:t xml:space="preserve"> </w:t>
      </w:r>
      <w:r>
        <w:rPr>
          <w:rFonts w:ascii="Barlow Medium" w:eastAsia="Arial" w:hAnsi="Barlow Medium" w:cs="Arial"/>
          <w:spacing w:val="1"/>
          <w:lang w:eastAsia="en-US"/>
        </w:rPr>
        <w:t>d</w:t>
      </w:r>
      <w:r>
        <w:rPr>
          <w:rFonts w:ascii="Barlow Medium" w:eastAsia="Arial" w:hAnsi="Barlow Medium" w:cs="Arial"/>
          <w:lang w:eastAsia="en-US"/>
        </w:rPr>
        <w:t>e Gob</w:t>
      </w:r>
      <w:r>
        <w:rPr>
          <w:rFonts w:ascii="Barlow Medium" w:eastAsia="Arial" w:hAnsi="Barlow Medium" w:cs="Arial"/>
          <w:spacing w:val="-2"/>
          <w:lang w:eastAsia="en-US"/>
        </w:rPr>
        <w:t>i</w:t>
      </w:r>
      <w:r>
        <w:rPr>
          <w:rFonts w:ascii="Barlow Medium" w:eastAsia="Arial" w:hAnsi="Barlow Medium" w:cs="Arial"/>
          <w:lang w:eastAsia="en-US"/>
        </w:rPr>
        <w:t>erno del E</w:t>
      </w:r>
      <w:r>
        <w:rPr>
          <w:rFonts w:ascii="Barlow Medium" w:eastAsia="Arial" w:hAnsi="Barlow Medium" w:cs="Arial"/>
          <w:spacing w:val="-1"/>
          <w:lang w:eastAsia="en-US"/>
        </w:rPr>
        <w:t>s</w:t>
      </w:r>
      <w:r>
        <w:rPr>
          <w:rFonts w:ascii="Barlow Medium" w:eastAsia="Arial" w:hAnsi="Barlow Medium" w:cs="Arial"/>
          <w:lang w:eastAsia="en-US"/>
        </w:rPr>
        <w:t>t</w:t>
      </w:r>
      <w:r>
        <w:rPr>
          <w:rFonts w:ascii="Barlow Medium" w:eastAsia="Arial" w:hAnsi="Barlow Medium" w:cs="Arial"/>
          <w:spacing w:val="1"/>
          <w:lang w:eastAsia="en-US"/>
        </w:rPr>
        <w:t>a</w:t>
      </w:r>
      <w:r>
        <w:rPr>
          <w:rFonts w:ascii="Barlow Medium" w:eastAsia="Arial" w:hAnsi="Barlow Medium" w:cs="Arial"/>
          <w:lang w:eastAsia="en-US"/>
        </w:rPr>
        <w:t>do</w:t>
      </w:r>
      <w:r>
        <w:rPr>
          <w:rFonts w:ascii="Barlow Medium" w:eastAsia="Arial" w:hAnsi="Barlow Medium" w:cs="Arial"/>
          <w:spacing w:val="36"/>
          <w:lang w:eastAsia="en-US"/>
        </w:rPr>
        <w:t xml:space="preserve"> </w:t>
      </w:r>
      <w:r>
        <w:rPr>
          <w:rFonts w:ascii="Barlow Medium" w:eastAsia="Arial" w:hAnsi="Barlow Medium" w:cs="Arial"/>
          <w:lang w:eastAsia="en-US"/>
        </w:rPr>
        <w:t>de</w:t>
      </w:r>
      <w:r>
        <w:rPr>
          <w:rFonts w:ascii="Barlow Medium" w:eastAsia="Arial" w:hAnsi="Barlow Medium" w:cs="Arial"/>
          <w:spacing w:val="23"/>
          <w:lang w:eastAsia="en-US"/>
        </w:rPr>
        <w:t xml:space="preserve"> </w:t>
      </w:r>
      <w:r>
        <w:rPr>
          <w:rFonts w:ascii="Barlow Medium" w:eastAsia="Arial" w:hAnsi="Barlow Medium" w:cs="Arial"/>
          <w:lang w:eastAsia="en-US"/>
        </w:rPr>
        <w:t>Y</w:t>
      </w:r>
      <w:r>
        <w:rPr>
          <w:rFonts w:ascii="Barlow Medium" w:eastAsia="Arial" w:hAnsi="Barlow Medium" w:cs="Arial"/>
          <w:spacing w:val="-1"/>
          <w:lang w:eastAsia="en-US"/>
        </w:rPr>
        <w:t>uc</w:t>
      </w:r>
      <w:r>
        <w:rPr>
          <w:rFonts w:ascii="Barlow Medium" w:eastAsia="Arial" w:hAnsi="Barlow Medium" w:cs="Arial"/>
          <w:lang w:eastAsia="en-US"/>
        </w:rPr>
        <w:t>atán</w:t>
      </w:r>
      <w:r>
        <w:rPr>
          <w:rFonts w:ascii="Barlow Medium" w:eastAsia="Arial" w:hAnsi="Barlow Medium" w:cs="Arial"/>
          <w:spacing w:val="39"/>
          <w:lang w:eastAsia="en-US"/>
        </w:rPr>
        <w:t xml:space="preserve"> </w:t>
      </w:r>
      <w:r>
        <w:rPr>
          <w:rFonts w:ascii="Barlow Medium" w:eastAsia="Arial" w:hAnsi="Barlow Medium" w:cs="Arial"/>
          <w:lang w:eastAsia="en-US"/>
        </w:rPr>
        <w:t xml:space="preserve">(ver  </w:t>
      </w:r>
      <w:r>
        <w:rPr>
          <w:rFonts w:ascii="Barlow Medium" w:eastAsia="Arial" w:hAnsi="Barlow Medium" w:cs="Arial"/>
          <w:spacing w:val="28"/>
          <w:lang w:eastAsia="en-US"/>
        </w:rPr>
        <w:t xml:space="preserve"> </w:t>
      </w:r>
      <w:r>
        <w:rPr>
          <w:rFonts w:ascii="Barlow Medium" w:eastAsia="Arial" w:hAnsi="Barlow Medium" w:cs="Arial"/>
          <w:lang w:eastAsia="en-US"/>
        </w:rPr>
        <w:t>gráfi</w:t>
      </w:r>
      <w:r>
        <w:rPr>
          <w:rFonts w:ascii="Barlow Medium" w:eastAsia="Arial" w:hAnsi="Barlow Medium" w:cs="Arial"/>
          <w:spacing w:val="-1"/>
          <w:lang w:eastAsia="en-US"/>
        </w:rPr>
        <w:t>c</w:t>
      </w:r>
      <w:r>
        <w:rPr>
          <w:rFonts w:ascii="Barlow Medium" w:eastAsia="Arial" w:hAnsi="Barlow Medium" w:cs="Arial"/>
          <w:lang w:eastAsia="en-US"/>
        </w:rPr>
        <w:t xml:space="preserve">a 1).  </w:t>
      </w:r>
      <w:r>
        <w:rPr>
          <w:rFonts w:ascii="Barlow Medium" w:eastAsia="Arial" w:hAnsi="Barlow Medium" w:cs="Arial"/>
          <w:spacing w:val="23"/>
          <w:lang w:eastAsia="en-US"/>
        </w:rPr>
        <w:t xml:space="preserve"> </w:t>
      </w:r>
    </w:p>
    <w:p w:rsidR="004850C2" w:rsidRDefault="004850C2" w:rsidP="004850C2">
      <w:pPr>
        <w:widowControl w:val="0"/>
        <w:jc w:val="both"/>
        <w:rPr>
          <w:rFonts w:ascii="Barlow Medium" w:eastAsia="Arial" w:hAnsi="Barlow Medium" w:cs="Arial"/>
          <w:spacing w:val="23"/>
          <w:lang w:eastAsia="en-US"/>
        </w:rPr>
      </w:pPr>
    </w:p>
    <w:p w:rsidR="004850C2" w:rsidRDefault="004850C2" w:rsidP="004850C2">
      <w:pPr>
        <w:widowControl w:val="0"/>
        <w:jc w:val="both"/>
        <w:rPr>
          <w:rFonts w:ascii="Barlow Medium" w:eastAsia="Arial" w:hAnsi="Barlow Medium" w:cs="Arial"/>
          <w:spacing w:val="23"/>
          <w:lang w:eastAsia="en-US"/>
        </w:rPr>
      </w:pPr>
    </w:p>
    <w:p w:rsidR="004850C2" w:rsidRDefault="004850C2" w:rsidP="004850C2">
      <w:pPr>
        <w:widowControl w:val="0"/>
        <w:jc w:val="both"/>
        <w:rPr>
          <w:rFonts w:ascii="Barlow Medium" w:eastAsia="Arial" w:hAnsi="Barlow Medium" w:cs="Arial"/>
          <w:spacing w:val="23"/>
          <w:lang w:eastAsia="en-US"/>
        </w:rPr>
      </w:pPr>
    </w:p>
    <w:p w:rsidR="004850C2" w:rsidRDefault="004850C2" w:rsidP="004850C2">
      <w:pPr>
        <w:widowControl w:val="0"/>
        <w:jc w:val="center"/>
        <w:rPr>
          <w:rFonts w:ascii="Barlow Medium" w:eastAsia="Arial" w:hAnsi="Barlow Medium" w:cs="Arial"/>
          <w:b/>
          <w:bCs/>
          <w:w w:val="103"/>
          <w:lang w:eastAsia="en-US"/>
        </w:rPr>
      </w:pPr>
      <w:r>
        <w:rPr>
          <w:rFonts w:ascii="Barlow Medium" w:eastAsia="Arial" w:hAnsi="Barlow Medium" w:cs="Arial"/>
          <w:b/>
          <w:bCs/>
          <w:w w:val="103"/>
          <w:lang w:eastAsia="en-US"/>
        </w:rPr>
        <w:t>Gráfica 1. Inversión en jóvenes 2019 (%)</w:t>
      </w:r>
    </w:p>
    <w:p w:rsidR="004850C2" w:rsidRDefault="004850C2" w:rsidP="004850C2">
      <w:pPr>
        <w:widowControl w:val="0"/>
        <w:jc w:val="center"/>
        <w:rPr>
          <w:rFonts w:ascii="Barlow Medium" w:eastAsia="Arial" w:hAnsi="Barlow Medium" w:cs="Arial"/>
          <w:w w:val="103"/>
          <w:lang w:eastAsia="en-US"/>
        </w:rPr>
      </w:pPr>
      <w:r>
        <w:rPr>
          <w:rFonts w:ascii="Barlow Medium" w:eastAsiaTheme="minorHAnsi" w:hAnsi="Barlow Medium"/>
          <w:noProof/>
          <w:lang w:val="es-MX" w:eastAsia="es-MX"/>
        </w:rPr>
        <w:drawing>
          <wp:inline distT="0" distB="0" distL="0" distR="0">
            <wp:extent cx="5063490" cy="2320290"/>
            <wp:effectExtent l="0" t="0" r="16510" b="1651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850C2" w:rsidRDefault="004850C2" w:rsidP="004850C2">
      <w:pPr>
        <w:widowControl w:val="0"/>
        <w:jc w:val="center"/>
        <w:rPr>
          <w:rFonts w:ascii="Barlow Medium" w:eastAsia="Arial" w:hAnsi="Barlow Medium" w:cs="Arial"/>
          <w:sz w:val="20"/>
          <w:lang w:eastAsia="en-US"/>
        </w:rPr>
      </w:pPr>
      <w:r>
        <w:rPr>
          <w:rFonts w:ascii="Barlow Medium" w:eastAsia="Arial" w:hAnsi="Barlow Medium" w:cs="Arial"/>
          <w:sz w:val="20"/>
          <w:lang w:eastAsia="en-US"/>
        </w:rPr>
        <w:t>Elaboración propia. Presupuesto 2019 Secretaría de Administración y Finanzas.</w:t>
      </w:r>
    </w:p>
    <w:p w:rsidR="004850C2" w:rsidRDefault="004850C2" w:rsidP="004850C2">
      <w:pPr>
        <w:widowControl w:val="0"/>
        <w:jc w:val="both"/>
        <w:rPr>
          <w:rFonts w:ascii="Barlow Medium" w:eastAsia="Arial" w:hAnsi="Barlow Medium" w:cs="Arial"/>
          <w:lang w:eastAsia="en-US"/>
        </w:rPr>
      </w:pP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lastRenderedPageBreak/>
        <w:t>El</w:t>
      </w:r>
      <w:r>
        <w:rPr>
          <w:rFonts w:ascii="Barlow Medium" w:eastAsia="Arial" w:hAnsi="Barlow Medium" w:cs="Arial"/>
          <w:spacing w:val="1"/>
          <w:lang w:eastAsia="en-US"/>
        </w:rPr>
        <w:t xml:space="preserve"> </w:t>
      </w:r>
      <w:r>
        <w:rPr>
          <w:rFonts w:ascii="Barlow Medium" w:eastAsia="Arial" w:hAnsi="Barlow Medium" w:cs="Arial"/>
          <w:lang w:eastAsia="en-US"/>
        </w:rPr>
        <w:t>análi</w:t>
      </w:r>
      <w:r>
        <w:rPr>
          <w:rFonts w:ascii="Barlow Medium" w:eastAsia="Arial" w:hAnsi="Barlow Medium" w:cs="Arial"/>
          <w:spacing w:val="-2"/>
          <w:lang w:eastAsia="en-US"/>
        </w:rPr>
        <w:t>s</w:t>
      </w:r>
      <w:r>
        <w:rPr>
          <w:rFonts w:ascii="Barlow Medium" w:eastAsia="Arial" w:hAnsi="Barlow Medium" w:cs="Arial"/>
          <w:lang w:eastAsia="en-US"/>
        </w:rPr>
        <w:t xml:space="preserve">is de </w:t>
      </w:r>
      <w:r>
        <w:rPr>
          <w:rFonts w:ascii="Barlow Medium" w:eastAsia="Arial" w:hAnsi="Barlow Medium" w:cs="Arial"/>
          <w:spacing w:val="-2"/>
          <w:lang w:eastAsia="en-US"/>
        </w:rPr>
        <w:t>l</w:t>
      </w:r>
      <w:r>
        <w:rPr>
          <w:rFonts w:ascii="Barlow Medium" w:eastAsia="Arial" w:hAnsi="Barlow Medium" w:cs="Arial"/>
          <w:lang w:eastAsia="en-US"/>
        </w:rPr>
        <w:t>a especi</w:t>
      </w:r>
      <w:r>
        <w:rPr>
          <w:rFonts w:ascii="Barlow Medium" w:eastAsia="Arial" w:hAnsi="Barlow Medium" w:cs="Arial"/>
          <w:spacing w:val="1"/>
          <w:lang w:eastAsia="en-US"/>
        </w:rPr>
        <w:t>f</w:t>
      </w:r>
      <w:r>
        <w:rPr>
          <w:rFonts w:ascii="Barlow Medium" w:eastAsia="Arial" w:hAnsi="Barlow Medium" w:cs="Arial"/>
          <w:lang w:eastAsia="en-US"/>
        </w:rPr>
        <w:t>icidad</w:t>
      </w:r>
      <w:r>
        <w:rPr>
          <w:rFonts w:ascii="Barlow Medium" w:eastAsia="Arial" w:hAnsi="Barlow Medium" w:cs="Arial"/>
          <w:spacing w:val="32"/>
          <w:lang w:eastAsia="en-US"/>
        </w:rPr>
        <w:t xml:space="preserve"> </w:t>
      </w:r>
      <w:r>
        <w:rPr>
          <w:rFonts w:ascii="Barlow Medium" w:eastAsia="Arial" w:hAnsi="Barlow Medium" w:cs="Arial"/>
          <w:lang w:eastAsia="en-US"/>
        </w:rPr>
        <w:t>de</w:t>
      </w:r>
      <w:r>
        <w:rPr>
          <w:rFonts w:ascii="Barlow Medium" w:eastAsia="Arial" w:hAnsi="Barlow Medium" w:cs="Arial"/>
          <w:spacing w:val="2"/>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a i</w:t>
      </w:r>
      <w:r>
        <w:rPr>
          <w:rFonts w:ascii="Barlow Medium" w:eastAsia="Arial" w:hAnsi="Barlow Medium" w:cs="Arial"/>
          <w:spacing w:val="1"/>
          <w:lang w:eastAsia="en-US"/>
        </w:rPr>
        <w:t>n</w:t>
      </w:r>
      <w:r>
        <w:rPr>
          <w:rFonts w:ascii="Barlow Medium" w:eastAsia="Arial" w:hAnsi="Barlow Medium" w:cs="Arial"/>
          <w:spacing w:val="-1"/>
          <w:lang w:eastAsia="en-US"/>
        </w:rPr>
        <w:t>v</w:t>
      </w:r>
      <w:r>
        <w:rPr>
          <w:rFonts w:ascii="Barlow Medium" w:eastAsia="Arial" w:hAnsi="Barlow Medium" w:cs="Arial"/>
          <w:lang w:eastAsia="en-US"/>
        </w:rPr>
        <w:t>ers</w:t>
      </w:r>
      <w:r>
        <w:rPr>
          <w:rFonts w:ascii="Barlow Medium" w:eastAsia="Arial" w:hAnsi="Barlow Medium" w:cs="Arial"/>
          <w:spacing w:val="-2"/>
          <w:lang w:eastAsia="en-US"/>
        </w:rPr>
        <w:t>i</w:t>
      </w:r>
      <w:r>
        <w:rPr>
          <w:rFonts w:ascii="Barlow Medium" w:eastAsia="Arial" w:hAnsi="Barlow Medium" w:cs="Arial"/>
          <w:lang w:eastAsia="en-US"/>
        </w:rPr>
        <w:t xml:space="preserve">ón </w:t>
      </w:r>
      <w:r>
        <w:rPr>
          <w:rFonts w:ascii="Barlow Medium" w:eastAsia="Arial" w:hAnsi="Barlow Medium" w:cs="Arial"/>
          <w:spacing w:val="1"/>
          <w:lang w:eastAsia="en-US"/>
        </w:rPr>
        <w:t>e</w:t>
      </w:r>
      <w:r>
        <w:rPr>
          <w:rFonts w:ascii="Barlow Medium" w:eastAsia="Arial" w:hAnsi="Barlow Medium" w:cs="Arial"/>
          <w:lang w:eastAsia="en-US"/>
        </w:rPr>
        <w:t>n</w:t>
      </w:r>
      <w:r>
        <w:rPr>
          <w:rFonts w:ascii="Barlow Medium" w:eastAsia="Arial" w:hAnsi="Barlow Medium" w:cs="Arial"/>
          <w:spacing w:val="2"/>
          <w:lang w:eastAsia="en-US"/>
        </w:rPr>
        <w:t xml:space="preserve"> </w:t>
      </w:r>
      <w:r>
        <w:rPr>
          <w:rFonts w:ascii="Barlow Medium" w:eastAsia="Arial" w:hAnsi="Barlow Medium" w:cs="Arial"/>
          <w:lang w:eastAsia="en-US"/>
        </w:rPr>
        <w:t>j</w:t>
      </w:r>
      <w:r>
        <w:rPr>
          <w:rFonts w:ascii="Barlow Medium" w:eastAsia="Arial" w:hAnsi="Barlow Medium" w:cs="Arial"/>
          <w:spacing w:val="1"/>
          <w:lang w:eastAsia="en-US"/>
        </w:rPr>
        <w:t>ó</w:t>
      </w:r>
      <w:r>
        <w:rPr>
          <w:rFonts w:ascii="Barlow Medium" w:eastAsia="Arial" w:hAnsi="Barlow Medium" w:cs="Arial"/>
          <w:spacing w:val="-2"/>
          <w:lang w:eastAsia="en-US"/>
        </w:rPr>
        <w:t>v</w:t>
      </w:r>
      <w:r>
        <w:rPr>
          <w:rFonts w:ascii="Barlow Medium" w:eastAsia="Arial" w:hAnsi="Barlow Medium" w:cs="Arial"/>
          <w:lang w:eastAsia="en-US"/>
        </w:rPr>
        <w:t>en</w:t>
      </w:r>
      <w:r>
        <w:rPr>
          <w:rFonts w:ascii="Barlow Medium" w:eastAsia="Arial" w:hAnsi="Barlow Medium" w:cs="Arial"/>
          <w:spacing w:val="1"/>
          <w:lang w:eastAsia="en-US"/>
        </w:rPr>
        <w:t>e</w:t>
      </w:r>
      <w:r>
        <w:rPr>
          <w:rFonts w:ascii="Barlow Medium" w:eastAsia="Arial" w:hAnsi="Barlow Medium" w:cs="Arial"/>
          <w:lang w:eastAsia="en-US"/>
        </w:rPr>
        <w:t>s mue</w:t>
      </w:r>
      <w:r>
        <w:rPr>
          <w:rFonts w:ascii="Barlow Medium" w:eastAsia="Arial" w:hAnsi="Barlow Medium" w:cs="Arial"/>
          <w:spacing w:val="-1"/>
          <w:lang w:eastAsia="en-US"/>
        </w:rPr>
        <w:t>s</w:t>
      </w:r>
      <w:r>
        <w:rPr>
          <w:rFonts w:ascii="Barlow Medium" w:eastAsia="Arial" w:hAnsi="Barlow Medium" w:cs="Arial"/>
          <w:lang w:eastAsia="en-US"/>
        </w:rPr>
        <w:t xml:space="preserve">tra </w:t>
      </w:r>
      <w:r>
        <w:rPr>
          <w:rFonts w:ascii="Barlow Medium" w:eastAsia="Arial" w:hAnsi="Barlow Medium" w:cs="Arial"/>
          <w:w w:val="103"/>
          <w:lang w:eastAsia="en-US"/>
        </w:rPr>
        <w:t xml:space="preserve">que </w:t>
      </w:r>
      <w:r>
        <w:rPr>
          <w:rFonts w:ascii="Barlow Medium" w:eastAsia="Arial" w:hAnsi="Barlow Medium" w:cs="Arial"/>
          <w:lang w:eastAsia="en-US"/>
        </w:rPr>
        <w:t>pr</w:t>
      </w:r>
      <w:r>
        <w:rPr>
          <w:rFonts w:ascii="Barlow Medium" w:eastAsia="Arial" w:hAnsi="Barlow Medium" w:cs="Arial"/>
          <w:spacing w:val="-2"/>
          <w:lang w:eastAsia="en-US"/>
        </w:rPr>
        <w:t>i</w:t>
      </w:r>
      <w:r>
        <w:rPr>
          <w:rFonts w:ascii="Barlow Medium" w:eastAsia="Arial" w:hAnsi="Barlow Medium" w:cs="Arial"/>
          <w:lang w:eastAsia="en-US"/>
        </w:rPr>
        <w:t>nc</w:t>
      </w:r>
      <w:r>
        <w:rPr>
          <w:rFonts w:ascii="Barlow Medium" w:eastAsia="Arial" w:hAnsi="Barlow Medium" w:cs="Arial"/>
          <w:spacing w:val="-2"/>
          <w:lang w:eastAsia="en-US"/>
        </w:rPr>
        <w:t>i</w:t>
      </w:r>
      <w:r>
        <w:rPr>
          <w:rFonts w:ascii="Barlow Medium" w:eastAsia="Arial" w:hAnsi="Barlow Medium" w:cs="Arial"/>
          <w:lang w:eastAsia="en-US"/>
        </w:rPr>
        <w:t>p</w:t>
      </w:r>
      <w:r>
        <w:rPr>
          <w:rFonts w:ascii="Barlow Medium" w:eastAsia="Arial" w:hAnsi="Barlow Medium" w:cs="Arial"/>
          <w:spacing w:val="1"/>
          <w:lang w:eastAsia="en-US"/>
        </w:rPr>
        <w:t>a</w:t>
      </w:r>
      <w:r>
        <w:rPr>
          <w:rFonts w:ascii="Barlow Medium" w:eastAsia="Arial" w:hAnsi="Barlow Medium" w:cs="Arial"/>
          <w:lang w:eastAsia="en-US"/>
        </w:rPr>
        <w:t>lm</w:t>
      </w:r>
      <w:r>
        <w:rPr>
          <w:rFonts w:ascii="Barlow Medium" w:eastAsia="Arial" w:hAnsi="Barlow Medium" w:cs="Arial"/>
          <w:spacing w:val="1"/>
          <w:lang w:eastAsia="en-US"/>
        </w:rPr>
        <w:t>e</w:t>
      </w:r>
      <w:r>
        <w:rPr>
          <w:rFonts w:ascii="Barlow Medium" w:eastAsia="Arial" w:hAnsi="Barlow Medium" w:cs="Arial"/>
          <w:lang w:eastAsia="en-US"/>
        </w:rPr>
        <w:t>nte</w:t>
      </w:r>
      <w:r>
        <w:rPr>
          <w:rFonts w:ascii="Barlow Medium" w:eastAsia="Arial" w:hAnsi="Barlow Medium" w:cs="Arial"/>
          <w:spacing w:val="12"/>
          <w:lang w:eastAsia="en-US"/>
        </w:rPr>
        <w:t xml:space="preserve"> </w:t>
      </w:r>
      <w:r>
        <w:rPr>
          <w:rFonts w:ascii="Barlow Medium" w:eastAsia="Arial" w:hAnsi="Barlow Medium" w:cs="Arial"/>
          <w:lang w:eastAsia="en-US"/>
        </w:rPr>
        <w:t>se d</w:t>
      </w:r>
      <w:r>
        <w:rPr>
          <w:rFonts w:ascii="Barlow Medium" w:eastAsia="Arial" w:hAnsi="Barlow Medium" w:cs="Arial"/>
          <w:spacing w:val="-1"/>
          <w:lang w:eastAsia="en-US"/>
        </w:rPr>
        <w:t>e</w:t>
      </w:r>
      <w:r>
        <w:rPr>
          <w:rFonts w:ascii="Barlow Medium" w:eastAsia="Arial" w:hAnsi="Barlow Medium" w:cs="Arial"/>
          <w:lang w:eastAsia="en-US"/>
        </w:rPr>
        <w:t>stina</w:t>
      </w:r>
      <w:r>
        <w:rPr>
          <w:rFonts w:ascii="Barlow Medium" w:eastAsia="Arial" w:hAnsi="Barlow Medium" w:cs="Arial"/>
          <w:spacing w:val="48"/>
          <w:lang w:eastAsia="en-US"/>
        </w:rPr>
        <w:t xml:space="preserve"> </w:t>
      </w:r>
      <w:r>
        <w:rPr>
          <w:rFonts w:ascii="Barlow Medium" w:eastAsia="Arial" w:hAnsi="Barlow Medium" w:cs="Arial"/>
          <w:lang w:eastAsia="en-US"/>
        </w:rPr>
        <w:t>el</w:t>
      </w:r>
      <w:r>
        <w:rPr>
          <w:rFonts w:ascii="Barlow Medium" w:eastAsia="Arial" w:hAnsi="Barlow Medium" w:cs="Arial"/>
          <w:spacing w:val="34"/>
          <w:lang w:eastAsia="en-US"/>
        </w:rPr>
        <w:t xml:space="preserve"> </w:t>
      </w:r>
      <w:r>
        <w:rPr>
          <w:rFonts w:ascii="Barlow Medium" w:eastAsia="Arial" w:hAnsi="Barlow Medium" w:cs="Arial"/>
          <w:lang w:eastAsia="en-US"/>
        </w:rPr>
        <w:t xml:space="preserve">6.94% </w:t>
      </w:r>
      <w:r>
        <w:rPr>
          <w:rFonts w:ascii="Barlow Medium" w:eastAsia="Arial" w:hAnsi="Barlow Medium" w:cs="Arial"/>
          <w:spacing w:val="-1"/>
          <w:lang w:eastAsia="en-US"/>
        </w:rPr>
        <w:t>d</w:t>
      </w:r>
      <w:r>
        <w:rPr>
          <w:rFonts w:ascii="Barlow Medium" w:eastAsia="Arial" w:hAnsi="Barlow Medium" w:cs="Arial"/>
          <w:lang w:eastAsia="en-US"/>
        </w:rPr>
        <w:t>el</w:t>
      </w:r>
      <w:r>
        <w:rPr>
          <w:rFonts w:ascii="Barlow Medium" w:eastAsia="Arial" w:hAnsi="Barlow Medium" w:cs="Arial"/>
          <w:spacing w:val="38"/>
          <w:lang w:eastAsia="en-US"/>
        </w:rPr>
        <w:t xml:space="preserve"> </w:t>
      </w:r>
      <w:r>
        <w:rPr>
          <w:rFonts w:ascii="Barlow Medium" w:eastAsia="Arial" w:hAnsi="Barlow Medium" w:cs="Arial"/>
          <w:lang w:eastAsia="en-US"/>
        </w:rPr>
        <w:t>mo</w:t>
      </w:r>
      <w:r>
        <w:rPr>
          <w:rFonts w:ascii="Barlow Medium" w:eastAsia="Arial" w:hAnsi="Barlow Medium" w:cs="Arial"/>
          <w:spacing w:val="1"/>
          <w:lang w:eastAsia="en-US"/>
        </w:rPr>
        <w:t>n</w:t>
      </w:r>
      <w:r>
        <w:rPr>
          <w:rFonts w:ascii="Barlow Medium" w:eastAsia="Arial" w:hAnsi="Barlow Medium" w:cs="Arial"/>
          <w:lang w:eastAsia="en-US"/>
        </w:rPr>
        <w:t>to</w:t>
      </w:r>
      <w:r>
        <w:rPr>
          <w:rFonts w:ascii="Barlow Medium" w:eastAsia="Arial" w:hAnsi="Barlow Medium" w:cs="Arial"/>
          <w:spacing w:val="45"/>
          <w:lang w:eastAsia="en-US"/>
        </w:rPr>
        <w:t xml:space="preserve"> </w:t>
      </w:r>
      <w:r>
        <w:rPr>
          <w:rFonts w:ascii="Barlow Medium" w:eastAsia="Arial" w:hAnsi="Barlow Medium" w:cs="Arial"/>
          <w:lang w:eastAsia="en-US"/>
        </w:rPr>
        <w:t>total en</w:t>
      </w:r>
      <w:r>
        <w:rPr>
          <w:rFonts w:ascii="Barlow Medium" w:eastAsia="Arial" w:hAnsi="Barlow Medium" w:cs="Arial"/>
          <w:spacing w:val="36"/>
          <w:lang w:eastAsia="en-US"/>
        </w:rPr>
        <w:t xml:space="preserve"> </w:t>
      </w:r>
      <w:r>
        <w:rPr>
          <w:rFonts w:ascii="Barlow Medium" w:eastAsia="Arial" w:hAnsi="Barlow Medium" w:cs="Arial"/>
          <w:lang w:eastAsia="en-US"/>
        </w:rPr>
        <w:t xml:space="preserve">acciones </w:t>
      </w:r>
      <w:r>
        <w:rPr>
          <w:rFonts w:ascii="Barlow Medium" w:eastAsia="Arial" w:hAnsi="Barlow Medium" w:cs="Arial"/>
          <w:spacing w:val="1"/>
          <w:lang w:eastAsia="en-US"/>
        </w:rPr>
        <w:t>e</w:t>
      </w:r>
      <w:r>
        <w:rPr>
          <w:rFonts w:ascii="Barlow Medium" w:eastAsia="Arial" w:hAnsi="Barlow Medium" w:cs="Arial"/>
          <w:spacing w:val="-2"/>
          <w:lang w:eastAsia="en-US"/>
        </w:rPr>
        <w:t>x</w:t>
      </w:r>
      <w:r>
        <w:rPr>
          <w:rFonts w:ascii="Barlow Medium" w:eastAsia="Arial" w:hAnsi="Barlow Medium" w:cs="Arial"/>
          <w:lang w:eastAsia="en-US"/>
        </w:rPr>
        <w:t>cl</w:t>
      </w:r>
      <w:r>
        <w:rPr>
          <w:rFonts w:ascii="Barlow Medium" w:eastAsia="Arial" w:hAnsi="Barlow Medium" w:cs="Arial"/>
          <w:spacing w:val="1"/>
          <w:lang w:eastAsia="en-US"/>
        </w:rPr>
        <w:t>u</w:t>
      </w:r>
      <w:r>
        <w:rPr>
          <w:rFonts w:ascii="Barlow Medium" w:eastAsia="Arial" w:hAnsi="Barlow Medium" w:cs="Arial"/>
          <w:spacing w:val="-1"/>
          <w:lang w:eastAsia="en-US"/>
        </w:rPr>
        <w:t>s</w:t>
      </w:r>
      <w:r>
        <w:rPr>
          <w:rFonts w:ascii="Barlow Medium" w:eastAsia="Arial" w:hAnsi="Barlow Medium" w:cs="Arial"/>
          <w:lang w:eastAsia="en-US"/>
        </w:rPr>
        <w:t>i</w:t>
      </w:r>
      <w:r>
        <w:rPr>
          <w:rFonts w:ascii="Barlow Medium" w:eastAsia="Arial" w:hAnsi="Barlow Medium" w:cs="Arial"/>
          <w:spacing w:val="-1"/>
          <w:lang w:eastAsia="en-US"/>
        </w:rPr>
        <w:t>v</w:t>
      </w:r>
      <w:r>
        <w:rPr>
          <w:rFonts w:ascii="Barlow Medium" w:eastAsia="Arial" w:hAnsi="Barlow Medium" w:cs="Arial"/>
          <w:lang w:eastAsia="en-US"/>
        </w:rPr>
        <w:t xml:space="preserve">as </w:t>
      </w:r>
      <w:r>
        <w:rPr>
          <w:rFonts w:ascii="Barlow Medium" w:eastAsia="Arial" w:hAnsi="Barlow Medium" w:cs="Arial"/>
          <w:w w:val="103"/>
          <w:lang w:eastAsia="en-US"/>
        </w:rPr>
        <w:t>p</w:t>
      </w:r>
      <w:r>
        <w:rPr>
          <w:rFonts w:ascii="Barlow Medium" w:eastAsia="Arial" w:hAnsi="Barlow Medium" w:cs="Arial"/>
          <w:spacing w:val="-1"/>
          <w:w w:val="103"/>
          <w:lang w:eastAsia="en-US"/>
        </w:rPr>
        <w:t>a</w:t>
      </w:r>
      <w:r>
        <w:rPr>
          <w:rFonts w:ascii="Barlow Medium" w:eastAsia="Arial" w:hAnsi="Barlow Medium" w:cs="Arial"/>
          <w:w w:val="103"/>
          <w:lang w:eastAsia="en-US"/>
        </w:rPr>
        <w:t xml:space="preserve">ra </w:t>
      </w:r>
      <w:r>
        <w:rPr>
          <w:rFonts w:ascii="Barlow Medium" w:eastAsia="Arial" w:hAnsi="Barlow Medium" w:cs="Arial"/>
          <w:lang w:eastAsia="en-US"/>
        </w:rPr>
        <w:t>los</w:t>
      </w:r>
      <w:r>
        <w:rPr>
          <w:rFonts w:ascii="Barlow Medium" w:eastAsia="Arial" w:hAnsi="Barlow Medium" w:cs="Arial"/>
          <w:spacing w:val="10"/>
          <w:lang w:eastAsia="en-US"/>
        </w:rPr>
        <w:t xml:space="preserve"> </w:t>
      </w:r>
      <w:r>
        <w:rPr>
          <w:rFonts w:ascii="Barlow Medium" w:eastAsia="Arial" w:hAnsi="Barlow Medium" w:cs="Arial"/>
          <w:lang w:eastAsia="en-US"/>
        </w:rPr>
        <w:t>j</w:t>
      </w:r>
      <w:r>
        <w:rPr>
          <w:rFonts w:ascii="Barlow Medium" w:eastAsia="Arial" w:hAnsi="Barlow Medium" w:cs="Arial"/>
          <w:spacing w:val="1"/>
          <w:lang w:eastAsia="en-US"/>
        </w:rPr>
        <w:t>ó</w:t>
      </w:r>
      <w:r>
        <w:rPr>
          <w:rFonts w:ascii="Barlow Medium" w:eastAsia="Arial" w:hAnsi="Barlow Medium" w:cs="Arial"/>
          <w:spacing w:val="-1"/>
          <w:lang w:eastAsia="en-US"/>
        </w:rPr>
        <w:t>ve</w:t>
      </w:r>
      <w:r>
        <w:rPr>
          <w:rFonts w:ascii="Barlow Medium" w:eastAsia="Arial" w:hAnsi="Barlow Medium" w:cs="Arial"/>
          <w:lang w:eastAsia="en-US"/>
        </w:rPr>
        <w:t>n</w:t>
      </w:r>
      <w:r>
        <w:rPr>
          <w:rFonts w:ascii="Barlow Medium" w:eastAsia="Arial" w:hAnsi="Barlow Medium" w:cs="Arial"/>
          <w:spacing w:val="1"/>
          <w:lang w:eastAsia="en-US"/>
        </w:rPr>
        <w:t>e</w:t>
      </w:r>
      <w:r>
        <w:rPr>
          <w:rFonts w:ascii="Barlow Medium" w:eastAsia="Arial" w:hAnsi="Barlow Medium" w:cs="Arial"/>
          <w:lang w:eastAsia="en-US"/>
        </w:rPr>
        <w:t>s,</w:t>
      </w:r>
      <w:r>
        <w:rPr>
          <w:rFonts w:ascii="Barlow Medium" w:eastAsia="Arial" w:hAnsi="Barlow Medium" w:cs="Arial"/>
          <w:spacing w:val="26"/>
          <w:lang w:eastAsia="en-US"/>
        </w:rPr>
        <w:t xml:space="preserve"> </w:t>
      </w:r>
      <w:r>
        <w:rPr>
          <w:rFonts w:ascii="Barlow Medium" w:eastAsia="Arial" w:hAnsi="Barlow Medium" w:cs="Arial"/>
          <w:lang w:eastAsia="en-US"/>
        </w:rPr>
        <w:t>e</w:t>
      </w:r>
      <w:r>
        <w:rPr>
          <w:rFonts w:ascii="Barlow Medium" w:eastAsia="Arial" w:hAnsi="Barlow Medium" w:cs="Arial"/>
          <w:spacing w:val="-1"/>
          <w:lang w:eastAsia="en-US"/>
        </w:rPr>
        <w:t>s</w:t>
      </w:r>
      <w:r>
        <w:rPr>
          <w:rFonts w:ascii="Barlow Medium" w:eastAsia="Arial" w:hAnsi="Barlow Medium" w:cs="Arial"/>
          <w:lang w:eastAsia="en-US"/>
        </w:rPr>
        <w:t>te</w:t>
      </w:r>
      <w:r>
        <w:rPr>
          <w:rFonts w:ascii="Barlow Medium" w:eastAsia="Arial" w:hAnsi="Barlow Medium" w:cs="Arial"/>
          <w:spacing w:val="15"/>
          <w:lang w:eastAsia="en-US"/>
        </w:rPr>
        <w:t xml:space="preserve"> </w:t>
      </w:r>
      <w:r>
        <w:rPr>
          <w:rFonts w:ascii="Barlow Medium" w:eastAsia="Arial" w:hAnsi="Barlow Medium" w:cs="Arial"/>
          <w:lang w:eastAsia="en-US"/>
        </w:rPr>
        <w:t>monto</w:t>
      </w:r>
      <w:r>
        <w:rPr>
          <w:rFonts w:ascii="Barlow Medium" w:eastAsia="Arial" w:hAnsi="Barlow Medium" w:cs="Arial"/>
          <w:spacing w:val="20"/>
          <w:lang w:eastAsia="en-US"/>
        </w:rPr>
        <w:t xml:space="preserve"> </w:t>
      </w:r>
      <w:r>
        <w:rPr>
          <w:rFonts w:ascii="Barlow Medium" w:eastAsia="Arial" w:hAnsi="Barlow Medium" w:cs="Arial"/>
          <w:lang w:eastAsia="en-US"/>
        </w:rPr>
        <w:t>asciende</w:t>
      </w:r>
      <w:r>
        <w:rPr>
          <w:rFonts w:ascii="Barlow Medium" w:eastAsia="Arial" w:hAnsi="Barlow Medium" w:cs="Arial"/>
          <w:spacing w:val="26"/>
          <w:lang w:eastAsia="en-US"/>
        </w:rPr>
        <w:t xml:space="preserve"> </w:t>
      </w:r>
      <w:r>
        <w:rPr>
          <w:rFonts w:ascii="Barlow Medium" w:eastAsia="Arial" w:hAnsi="Barlow Medium" w:cs="Arial"/>
          <w:lang w:eastAsia="en-US"/>
        </w:rPr>
        <w:t>a 423</w:t>
      </w:r>
      <w:r>
        <w:rPr>
          <w:rFonts w:ascii="Barlow Medium" w:eastAsia="Arial" w:hAnsi="Barlow Medium" w:cs="Arial"/>
          <w:spacing w:val="12"/>
          <w:lang w:eastAsia="en-US"/>
        </w:rPr>
        <w:t xml:space="preserve"> </w:t>
      </w:r>
      <w:r>
        <w:rPr>
          <w:rFonts w:ascii="Barlow Medium" w:eastAsia="Arial" w:hAnsi="Barlow Medium" w:cs="Arial"/>
          <w:lang w:eastAsia="en-US"/>
        </w:rPr>
        <w:t>mil</w:t>
      </w:r>
      <w:r>
        <w:rPr>
          <w:rFonts w:ascii="Barlow Medium" w:eastAsia="Arial" w:hAnsi="Barlow Medium" w:cs="Arial"/>
          <w:spacing w:val="-2"/>
          <w:lang w:eastAsia="en-US"/>
        </w:rPr>
        <w:t>l</w:t>
      </w:r>
      <w:r>
        <w:rPr>
          <w:rFonts w:ascii="Barlow Medium" w:eastAsia="Arial" w:hAnsi="Barlow Medium" w:cs="Arial"/>
          <w:lang w:eastAsia="en-US"/>
        </w:rPr>
        <w:t>ones</w:t>
      </w:r>
      <w:r>
        <w:rPr>
          <w:rFonts w:ascii="Barlow Medium" w:eastAsia="Arial" w:hAnsi="Barlow Medium" w:cs="Arial"/>
          <w:spacing w:val="24"/>
          <w:lang w:eastAsia="en-US"/>
        </w:rPr>
        <w:t xml:space="preserve"> 614</w:t>
      </w:r>
      <w:r>
        <w:rPr>
          <w:rFonts w:ascii="Barlow Medium" w:eastAsia="Arial" w:hAnsi="Barlow Medium" w:cs="Arial"/>
          <w:spacing w:val="12"/>
          <w:lang w:eastAsia="en-US"/>
        </w:rPr>
        <w:t xml:space="preserve"> </w:t>
      </w:r>
      <w:r>
        <w:rPr>
          <w:rFonts w:ascii="Barlow Medium" w:eastAsia="Arial" w:hAnsi="Barlow Medium" w:cs="Arial"/>
          <w:lang w:eastAsia="en-US"/>
        </w:rPr>
        <w:t>m</w:t>
      </w:r>
      <w:r>
        <w:rPr>
          <w:rFonts w:ascii="Barlow Medium" w:eastAsia="Arial" w:hAnsi="Barlow Medium" w:cs="Arial"/>
          <w:spacing w:val="-2"/>
          <w:lang w:eastAsia="en-US"/>
        </w:rPr>
        <w:t>i</w:t>
      </w:r>
      <w:r>
        <w:rPr>
          <w:rFonts w:ascii="Barlow Medium" w:eastAsia="Arial" w:hAnsi="Barlow Medium" w:cs="Arial"/>
          <w:lang w:eastAsia="en-US"/>
        </w:rPr>
        <w:t>l</w:t>
      </w:r>
      <w:r>
        <w:rPr>
          <w:rFonts w:ascii="Barlow Medium" w:eastAsia="Arial" w:hAnsi="Barlow Medium" w:cs="Arial"/>
          <w:spacing w:val="10"/>
          <w:lang w:eastAsia="en-US"/>
        </w:rPr>
        <w:t xml:space="preserve"> 148</w:t>
      </w:r>
      <w:r>
        <w:rPr>
          <w:rFonts w:ascii="Barlow Medium" w:eastAsia="Arial" w:hAnsi="Barlow Medium" w:cs="Arial"/>
          <w:spacing w:val="12"/>
          <w:lang w:eastAsia="en-US"/>
        </w:rPr>
        <w:t xml:space="preserve"> </w:t>
      </w:r>
      <w:r>
        <w:rPr>
          <w:rFonts w:ascii="Barlow Medium" w:eastAsia="Arial" w:hAnsi="Barlow Medium" w:cs="Arial"/>
          <w:w w:val="103"/>
          <w:lang w:eastAsia="en-US"/>
        </w:rPr>
        <w:t>pe</w:t>
      </w:r>
      <w:r>
        <w:rPr>
          <w:rFonts w:ascii="Barlow Medium" w:eastAsia="Arial" w:hAnsi="Barlow Medium" w:cs="Arial"/>
          <w:spacing w:val="-1"/>
          <w:w w:val="103"/>
          <w:lang w:eastAsia="en-US"/>
        </w:rPr>
        <w:t>s</w:t>
      </w:r>
      <w:r>
        <w:rPr>
          <w:rFonts w:ascii="Barlow Medium" w:eastAsia="Arial" w:hAnsi="Barlow Medium" w:cs="Arial"/>
          <w:w w:val="103"/>
          <w:lang w:eastAsia="en-US"/>
        </w:rPr>
        <w:t>os.</w:t>
      </w:r>
    </w:p>
    <w:p w:rsidR="004850C2" w:rsidRDefault="004850C2" w:rsidP="004850C2">
      <w:pPr>
        <w:widowControl w:val="0"/>
        <w:jc w:val="both"/>
        <w:rPr>
          <w:rFonts w:ascii="Barlow Medium" w:eastAsia="Arial" w:hAnsi="Barlow Medium" w:cs="Arial"/>
          <w:w w:val="103"/>
          <w:lang w:eastAsia="en-US"/>
        </w:rPr>
      </w:pPr>
      <w:r>
        <w:rPr>
          <w:rFonts w:ascii="Barlow Medium" w:eastAsia="Arial" w:hAnsi="Barlow Medium" w:cs="Arial"/>
          <w:w w:val="103"/>
          <w:lang w:eastAsia="en-US"/>
        </w:rPr>
        <w:t xml:space="preserve">Para la inversión agéntica, se destina un total de 4 mil 655 millones 554 mil 542 pesos, el cual representa un total de 76.26% de la inversión en juventud. </w:t>
      </w:r>
    </w:p>
    <w:p w:rsidR="004850C2" w:rsidRDefault="004850C2" w:rsidP="004850C2">
      <w:pPr>
        <w:widowControl w:val="0"/>
        <w:jc w:val="both"/>
        <w:rPr>
          <w:rFonts w:ascii="Barlow Medium" w:eastAsia="Arial" w:hAnsi="Barlow Medium" w:cs="Arial"/>
          <w:w w:val="103"/>
          <w:lang w:eastAsia="en-US"/>
        </w:rPr>
      </w:pPr>
      <w:r>
        <w:rPr>
          <w:rFonts w:ascii="Barlow Medium" w:eastAsia="Arial" w:hAnsi="Barlow Medium" w:cs="Arial"/>
          <w:w w:val="103"/>
          <w:lang w:eastAsia="en-US"/>
        </w:rPr>
        <w:t>El monto total para la inversión ampliada es de 698 millones 952 mil 936 pesos, representado un 11.45% de la inversión.</w:t>
      </w:r>
    </w:p>
    <w:p w:rsidR="004850C2" w:rsidRDefault="004850C2" w:rsidP="004850C2">
      <w:pPr>
        <w:widowControl w:val="0"/>
        <w:jc w:val="both"/>
        <w:rPr>
          <w:rFonts w:ascii="Barlow Medium" w:eastAsia="Arial" w:hAnsi="Barlow Medium" w:cs="Arial"/>
          <w:w w:val="103"/>
          <w:lang w:eastAsia="en-US"/>
        </w:rPr>
      </w:pPr>
      <w:r>
        <w:rPr>
          <w:rFonts w:ascii="Barlow Medium" w:eastAsia="Arial" w:hAnsi="Barlow Medium" w:cs="Arial"/>
          <w:w w:val="103"/>
          <w:lang w:eastAsia="en-US"/>
        </w:rPr>
        <w:t>En bienes públicos, la inversión asciende a 326 millones 945 mil 189 pesos, representando un 5.36% de la inversión.</w:t>
      </w:r>
    </w:p>
    <w:p w:rsidR="004850C2" w:rsidRDefault="004850C2" w:rsidP="004850C2">
      <w:pPr>
        <w:widowControl w:val="0"/>
        <w:jc w:val="both"/>
        <w:rPr>
          <w:rFonts w:ascii="Barlow Medium" w:eastAsia="Arial" w:hAnsi="Barlow Medium" w:cs="Arial"/>
          <w:w w:val="103"/>
          <w:lang w:eastAsia="en-US"/>
        </w:rPr>
      </w:pPr>
      <w:r>
        <w:rPr>
          <w:rFonts w:ascii="Barlow Medium" w:eastAsia="Arial" w:hAnsi="Barlow Medium" w:cs="Arial"/>
          <w:lang w:eastAsia="en-US"/>
        </w:rPr>
        <w:t xml:space="preserve">A </w:t>
      </w:r>
      <w:r>
        <w:rPr>
          <w:rFonts w:ascii="Barlow Medium" w:eastAsia="Arial" w:hAnsi="Barlow Medium" w:cs="Arial"/>
          <w:spacing w:val="-1"/>
          <w:lang w:eastAsia="en-US"/>
        </w:rPr>
        <w:t>c</w:t>
      </w:r>
      <w:r>
        <w:rPr>
          <w:rFonts w:ascii="Barlow Medium" w:eastAsia="Arial" w:hAnsi="Barlow Medium" w:cs="Arial"/>
          <w:lang w:eastAsia="en-US"/>
        </w:rPr>
        <w:t>ontinu</w:t>
      </w:r>
      <w:r>
        <w:rPr>
          <w:rFonts w:ascii="Barlow Medium" w:eastAsia="Arial" w:hAnsi="Barlow Medium" w:cs="Arial"/>
          <w:spacing w:val="1"/>
          <w:lang w:eastAsia="en-US"/>
        </w:rPr>
        <w:t>a</w:t>
      </w:r>
      <w:r>
        <w:rPr>
          <w:rFonts w:ascii="Barlow Medium" w:eastAsia="Arial" w:hAnsi="Barlow Medium" w:cs="Arial"/>
          <w:spacing w:val="-1"/>
          <w:lang w:eastAsia="en-US"/>
        </w:rPr>
        <w:t>c</w:t>
      </w:r>
      <w:r>
        <w:rPr>
          <w:rFonts w:ascii="Barlow Medium" w:eastAsia="Arial" w:hAnsi="Barlow Medium" w:cs="Arial"/>
          <w:lang w:eastAsia="en-US"/>
        </w:rPr>
        <w:t>ión se</w:t>
      </w:r>
      <w:r>
        <w:rPr>
          <w:rFonts w:ascii="Barlow Medium" w:eastAsia="Arial" w:hAnsi="Barlow Medium" w:cs="Arial"/>
          <w:spacing w:val="36"/>
          <w:lang w:eastAsia="en-US"/>
        </w:rPr>
        <w:t xml:space="preserve"> </w:t>
      </w:r>
      <w:r>
        <w:rPr>
          <w:rFonts w:ascii="Barlow Medium" w:eastAsia="Arial" w:hAnsi="Barlow Medium" w:cs="Arial"/>
          <w:lang w:eastAsia="en-US"/>
        </w:rPr>
        <w:t>prese</w:t>
      </w:r>
      <w:r>
        <w:rPr>
          <w:rFonts w:ascii="Barlow Medium" w:eastAsia="Arial" w:hAnsi="Barlow Medium" w:cs="Arial"/>
          <w:spacing w:val="-1"/>
          <w:lang w:eastAsia="en-US"/>
        </w:rPr>
        <w:t>n</w:t>
      </w:r>
      <w:r>
        <w:rPr>
          <w:rFonts w:ascii="Barlow Medium" w:eastAsia="Arial" w:hAnsi="Barlow Medium" w:cs="Arial"/>
          <w:lang w:eastAsia="en-US"/>
        </w:rPr>
        <w:t>ta la distri</w:t>
      </w:r>
      <w:r>
        <w:rPr>
          <w:rFonts w:ascii="Barlow Medium" w:eastAsia="Arial" w:hAnsi="Barlow Medium" w:cs="Arial"/>
          <w:spacing w:val="-1"/>
          <w:lang w:eastAsia="en-US"/>
        </w:rPr>
        <w:t>b</w:t>
      </w:r>
      <w:r>
        <w:rPr>
          <w:rFonts w:ascii="Barlow Medium" w:eastAsia="Arial" w:hAnsi="Barlow Medium" w:cs="Arial"/>
          <w:spacing w:val="1"/>
          <w:lang w:eastAsia="en-US"/>
        </w:rPr>
        <w:t>u</w:t>
      </w:r>
      <w:r>
        <w:rPr>
          <w:rFonts w:ascii="Barlow Medium" w:eastAsia="Arial" w:hAnsi="Barlow Medium" w:cs="Arial"/>
          <w:lang w:eastAsia="en-US"/>
        </w:rPr>
        <w:t>ción de acu</w:t>
      </w:r>
      <w:r>
        <w:rPr>
          <w:rFonts w:ascii="Barlow Medium" w:eastAsia="Arial" w:hAnsi="Barlow Medium" w:cs="Arial"/>
          <w:spacing w:val="-1"/>
          <w:lang w:eastAsia="en-US"/>
        </w:rPr>
        <w:t>e</w:t>
      </w:r>
      <w:r>
        <w:rPr>
          <w:rFonts w:ascii="Barlow Medium" w:eastAsia="Arial" w:hAnsi="Barlow Medium" w:cs="Arial"/>
          <w:lang w:eastAsia="en-US"/>
        </w:rPr>
        <w:t>rdo</w:t>
      </w:r>
      <w:r>
        <w:rPr>
          <w:rFonts w:ascii="Barlow Medium" w:eastAsia="Arial" w:hAnsi="Barlow Medium" w:cs="Arial"/>
          <w:spacing w:val="50"/>
          <w:lang w:eastAsia="en-US"/>
        </w:rPr>
        <w:t xml:space="preserve"> </w:t>
      </w:r>
      <w:r>
        <w:rPr>
          <w:rFonts w:ascii="Barlow Medium" w:eastAsia="Arial" w:hAnsi="Barlow Medium" w:cs="Arial"/>
          <w:lang w:eastAsia="en-US"/>
        </w:rPr>
        <w:t>c</w:t>
      </w:r>
      <w:r>
        <w:rPr>
          <w:rFonts w:ascii="Barlow Medium" w:eastAsia="Arial" w:hAnsi="Barlow Medium" w:cs="Arial"/>
          <w:spacing w:val="1"/>
          <w:lang w:eastAsia="en-US"/>
        </w:rPr>
        <w:t>o</w:t>
      </w:r>
      <w:r>
        <w:rPr>
          <w:rFonts w:ascii="Barlow Medium" w:eastAsia="Arial" w:hAnsi="Barlow Medium" w:cs="Arial"/>
          <w:lang w:eastAsia="en-US"/>
        </w:rPr>
        <w:t xml:space="preserve">n </w:t>
      </w:r>
      <w:r>
        <w:rPr>
          <w:rFonts w:ascii="Barlow Medium" w:eastAsia="Arial" w:hAnsi="Barlow Medium" w:cs="Arial"/>
          <w:spacing w:val="39"/>
          <w:lang w:eastAsia="en-US"/>
        </w:rPr>
        <w:t xml:space="preserve"> </w:t>
      </w:r>
      <w:r>
        <w:rPr>
          <w:rFonts w:ascii="Barlow Medium" w:eastAsia="Arial" w:hAnsi="Barlow Medium" w:cs="Arial"/>
          <w:spacing w:val="-1"/>
          <w:w w:val="103"/>
          <w:lang w:eastAsia="en-US"/>
        </w:rPr>
        <w:t>l</w:t>
      </w:r>
      <w:r>
        <w:rPr>
          <w:rFonts w:ascii="Barlow Medium" w:eastAsia="Arial" w:hAnsi="Barlow Medium" w:cs="Arial"/>
          <w:w w:val="103"/>
          <w:lang w:eastAsia="en-US"/>
        </w:rPr>
        <w:t xml:space="preserve">as </w:t>
      </w:r>
      <w:r>
        <w:rPr>
          <w:rFonts w:ascii="Barlow Medium" w:eastAsia="Arial" w:hAnsi="Barlow Medium" w:cs="Arial"/>
          <w:lang w:eastAsia="en-US"/>
        </w:rPr>
        <w:t>categorías</w:t>
      </w:r>
      <w:r>
        <w:rPr>
          <w:rFonts w:ascii="Barlow Medium" w:eastAsia="Arial" w:hAnsi="Barlow Medium" w:cs="Arial"/>
          <w:spacing w:val="30"/>
          <w:lang w:eastAsia="en-US"/>
        </w:rPr>
        <w:t xml:space="preserve"> </w:t>
      </w:r>
      <w:r>
        <w:rPr>
          <w:rFonts w:ascii="Barlow Medium" w:eastAsia="Arial" w:hAnsi="Barlow Medium" w:cs="Arial"/>
          <w:lang w:eastAsia="en-US"/>
        </w:rPr>
        <w:t>de</w:t>
      </w:r>
      <w:r>
        <w:rPr>
          <w:rFonts w:ascii="Barlow Medium" w:eastAsia="Arial" w:hAnsi="Barlow Medium" w:cs="Arial"/>
          <w:spacing w:val="9"/>
          <w:lang w:eastAsia="en-US"/>
        </w:rPr>
        <w:t xml:space="preserve"> </w:t>
      </w:r>
      <w:r>
        <w:rPr>
          <w:rFonts w:ascii="Barlow Medium" w:eastAsia="Arial" w:hAnsi="Barlow Medium" w:cs="Arial"/>
          <w:lang w:eastAsia="en-US"/>
        </w:rPr>
        <w:t>la</w:t>
      </w:r>
      <w:r>
        <w:rPr>
          <w:rFonts w:ascii="Barlow Medium" w:eastAsia="Arial" w:hAnsi="Barlow Medium" w:cs="Arial"/>
          <w:spacing w:val="7"/>
          <w:lang w:eastAsia="en-US"/>
        </w:rPr>
        <w:t xml:space="preserve"> </w:t>
      </w:r>
      <w:r>
        <w:rPr>
          <w:rFonts w:ascii="Barlow Medium" w:eastAsia="Arial" w:hAnsi="Barlow Medium" w:cs="Arial"/>
          <w:lang w:eastAsia="en-US"/>
        </w:rPr>
        <w:t>especi</w:t>
      </w:r>
      <w:r>
        <w:rPr>
          <w:rFonts w:ascii="Barlow Medium" w:eastAsia="Arial" w:hAnsi="Barlow Medium" w:cs="Arial"/>
          <w:spacing w:val="1"/>
          <w:lang w:eastAsia="en-US"/>
        </w:rPr>
        <w:t>f</w:t>
      </w:r>
      <w:r>
        <w:rPr>
          <w:rFonts w:ascii="Barlow Medium" w:eastAsia="Arial" w:hAnsi="Barlow Medium" w:cs="Arial"/>
          <w:lang w:eastAsia="en-US"/>
        </w:rPr>
        <w:t>ic</w:t>
      </w:r>
      <w:r>
        <w:rPr>
          <w:rFonts w:ascii="Barlow Medium" w:eastAsia="Arial" w:hAnsi="Barlow Medium" w:cs="Arial"/>
          <w:spacing w:val="-2"/>
          <w:lang w:eastAsia="en-US"/>
        </w:rPr>
        <w:t>i</w:t>
      </w:r>
      <w:r>
        <w:rPr>
          <w:rFonts w:ascii="Barlow Medium" w:eastAsia="Arial" w:hAnsi="Barlow Medium" w:cs="Arial"/>
          <w:lang w:eastAsia="en-US"/>
        </w:rPr>
        <w:t>dad</w:t>
      </w:r>
      <w:r>
        <w:rPr>
          <w:rFonts w:ascii="Barlow Medium" w:eastAsia="Arial" w:hAnsi="Barlow Medium" w:cs="Arial"/>
          <w:spacing w:val="37"/>
          <w:lang w:eastAsia="en-US"/>
        </w:rPr>
        <w:t xml:space="preserve"> </w:t>
      </w:r>
      <w:r>
        <w:rPr>
          <w:rFonts w:ascii="Barlow Medium" w:eastAsia="Arial" w:hAnsi="Barlow Medium" w:cs="Arial"/>
          <w:lang w:eastAsia="en-US"/>
        </w:rPr>
        <w:t>d</w:t>
      </w:r>
      <w:r>
        <w:rPr>
          <w:rFonts w:ascii="Barlow Medium" w:eastAsia="Arial" w:hAnsi="Barlow Medium" w:cs="Arial"/>
          <w:spacing w:val="1"/>
          <w:lang w:eastAsia="en-US"/>
        </w:rPr>
        <w:t>e</w:t>
      </w:r>
      <w:r>
        <w:rPr>
          <w:rFonts w:ascii="Barlow Medium" w:eastAsia="Arial" w:hAnsi="Barlow Medium" w:cs="Arial"/>
          <w:lang w:eastAsia="en-US"/>
        </w:rPr>
        <w:t xml:space="preserve"> la inversión.</w:t>
      </w:r>
      <w:r>
        <w:rPr>
          <w:rFonts w:ascii="Barlow Medium" w:eastAsia="Arial" w:hAnsi="Barlow Medium" w:cs="Arial"/>
          <w:spacing w:val="18"/>
          <w:lang w:eastAsia="en-US"/>
        </w:rPr>
        <w:t xml:space="preserve"> </w:t>
      </w:r>
      <w:r>
        <w:rPr>
          <w:rFonts w:ascii="Barlow Medium" w:eastAsia="Arial" w:hAnsi="Barlow Medium" w:cs="Arial"/>
          <w:lang w:eastAsia="en-US"/>
        </w:rPr>
        <w:t>(</w:t>
      </w:r>
      <w:r>
        <w:rPr>
          <w:rFonts w:ascii="Barlow Medium" w:eastAsia="Arial" w:hAnsi="Barlow Medium" w:cs="Arial"/>
          <w:spacing w:val="-1"/>
          <w:lang w:eastAsia="en-US"/>
        </w:rPr>
        <w:t>V</w:t>
      </w:r>
      <w:r>
        <w:rPr>
          <w:rFonts w:ascii="Barlow Medium" w:eastAsia="Arial" w:hAnsi="Barlow Medium" w:cs="Arial"/>
          <w:lang w:eastAsia="en-US"/>
        </w:rPr>
        <w:t>er</w:t>
      </w:r>
      <w:r>
        <w:rPr>
          <w:rFonts w:ascii="Barlow Medium" w:eastAsia="Arial" w:hAnsi="Barlow Medium" w:cs="Arial"/>
          <w:spacing w:val="13"/>
          <w:lang w:eastAsia="en-US"/>
        </w:rPr>
        <w:t xml:space="preserve"> </w:t>
      </w:r>
      <w:r>
        <w:rPr>
          <w:rFonts w:ascii="Barlow Medium" w:eastAsia="Arial" w:hAnsi="Barlow Medium" w:cs="Arial"/>
          <w:lang w:eastAsia="en-US"/>
        </w:rPr>
        <w:t>gr</w:t>
      </w:r>
      <w:r>
        <w:rPr>
          <w:rFonts w:ascii="Barlow Medium" w:eastAsia="Arial" w:hAnsi="Barlow Medium" w:cs="Arial"/>
          <w:spacing w:val="1"/>
          <w:lang w:eastAsia="en-US"/>
        </w:rPr>
        <w:t>á</w:t>
      </w:r>
      <w:r>
        <w:rPr>
          <w:rFonts w:ascii="Barlow Medium" w:eastAsia="Arial" w:hAnsi="Barlow Medium" w:cs="Arial"/>
          <w:lang w:eastAsia="en-US"/>
        </w:rPr>
        <w:t>fi</w:t>
      </w:r>
      <w:r>
        <w:rPr>
          <w:rFonts w:ascii="Barlow Medium" w:eastAsia="Arial" w:hAnsi="Barlow Medium" w:cs="Arial"/>
          <w:spacing w:val="-1"/>
          <w:lang w:eastAsia="en-US"/>
        </w:rPr>
        <w:t>c</w:t>
      </w:r>
      <w:r>
        <w:rPr>
          <w:rFonts w:ascii="Barlow Medium" w:eastAsia="Arial" w:hAnsi="Barlow Medium" w:cs="Arial"/>
          <w:lang w:eastAsia="en-US"/>
        </w:rPr>
        <w:t>a</w:t>
      </w:r>
      <w:r>
        <w:rPr>
          <w:rFonts w:ascii="Barlow Medium" w:eastAsia="Arial" w:hAnsi="Barlow Medium" w:cs="Arial"/>
          <w:spacing w:val="20"/>
          <w:lang w:eastAsia="en-US"/>
        </w:rPr>
        <w:t xml:space="preserve"> </w:t>
      </w:r>
      <w:r>
        <w:rPr>
          <w:rFonts w:ascii="Barlow Medium" w:eastAsia="Arial" w:hAnsi="Barlow Medium" w:cs="Arial"/>
          <w:w w:val="103"/>
          <w:lang w:eastAsia="en-US"/>
        </w:rPr>
        <w:t>2).</w:t>
      </w:r>
    </w:p>
    <w:p w:rsidR="004850C2" w:rsidRDefault="004850C2" w:rsidP="004850C2">
      <w:pPr>
        <w:widowControl w:val="0"/>
        <w:jc w:val="center"/>
        <w:rPr>
          <w:rFonts w:ascii="Barlow Medium" w:eastAsia="Arial" w:hAnsi="Barlow Medium" w:cs="Arial"/>
          <w:b/>
          <w:bCs/>
          <w:w w:val="103"/>
          <w:lang w:eastAsia="en-US"/>
        </w:rPr>
      </w:pPr>
    </w:p>
    <w:p w:rsidR="004850C2" w:rsidRDefault="004850C2" w:rsidP="004850C2">
      <w:pPr>
        <w:widowControl w:val="0"/>
        <w:jc w:val="center"/>
        <w:rPr>
          <w:rFonts w:ascii="Barlow Medium" w:eastAsia="Arial" w:hAnsi="Barlow Medium" w:cs="Arial"/>
          <w:b/>
          <w:bCs/>
          <w:w w:val="103"/>
          <w:lang w:eastAsia="en-US"/>
        </w:rPr>
      </w:pPr>
    </w:p>
    <w:p w:rsidR="004850C2" w:rsidRDefault="004850C2" w:rsidP="004850C2">
      <w:pPr>
        <w:widowControl w:val="0"/>
        <w:jc w:val="center"/>
        <w:rPr>
          <w:rFonts w:ascii="Barlow Medium" w:eastAsia="Arial" w:hAnsi="Barlow Medium" w:cs="Arial"/>
          <w:b/>
          <w:bCs/>
          <w:w w:val="103"/>
          <w:lang w:eastAsia="en-US"/>
        </w:rPr>
      </w:pPr>
    </w:p>
    <w:p w:rsidR="004850C2" w:rsidRDefault="004850C2" w:rsidP="004850C2">
      <w:pPr>
        <w:widowControl w:val="0"/>
        <w:jc w:val="center"/>
        <w:rPr>
          <w:rFonts w:ascii="Barlow Medium" w:eastAsia="Arial" w:hAnsi="Barlow Medium" w:cs="Arial"/>
          <w:b/>
          <w:bCs/>
          <w:w w:val="103"/>
          <w:lang w:eastAsia="en-US"/>
        </w:rPr>
      </w:pPr>
    </w:p>
    <w:p w:rsidR="004850C2" w:rsidRDefault="004850C2" w:rsidP="004850C2">
      <w:pPr>
        <w:widowControl w:val="0"/>
        <w:jc w:val="center"/>
        <w:rPr>
          <w:rFonts w:ascii="Barlow Medium" w:eastAsia="Arial" w:hAnsi="Barlow Medium" w:cs="Arial"/>
          <w:b/>
          <w:bCs/>
          <w:w w:val="103"/>
          <w:lang w:eastAsia="en-US"/>
        </w:rPr>
      </w:pPr>
    </w:p>
    <w:p w:rsidR="004850C2" w:rsidRDefault="004850C2" w:rsidP="004850C2">
      <w:pPr>
        <w:widowControl w:val="0"/>
        <w:jc w:val="center"/>
        <w:rPr>
          <w:rFonts w:ascii="Barlow Medium" w:eastAsia="Arial" w:hAnsi="Barlow Medium" w:cs="Arial"/>
          <w:b/>
          <w:bCs/>
          <w:w w:val="103"/>
          <w:lang w:eastAsia="en-US"/>
        </w:rPr>
      </w:pPr>
      <w:r>
        <w:rPr>
          <w:rFonts w:ascii="Barlow Medium" w:eastAsia="Arial" w:hAnsi="Barlow Medium" w:cs="Arial"/>
          <w:b/>
          <w:bCs/>
          <w:w w:val="103"/>
          <w:lang w:eastAsia="en-US"/>
        </w:rPr>
        <w:t>Gráfica 2. Especificidad de la inversión</w:t>
      </w:r>
    </w:p>
    <w:p w:rsidR="004850C2" w:rsidRDefault="004850C2" w:rsidP="004850C2">
      <w:pPr>
        <w:widowControl w:val="0"/>
        <w:jc w:val="center"/>
        <w:rPr>
          <w:rFonts w:ascii="Barlow Medium" w:eastAsia="Arial" w:hAnsi="Barlow Medium" w:cs="Arial"/>
          <w:w w:val="103"/>
          <w:lang w:eastAsia="en-US"/>
        </w:rPr>
      </w:pPr>
      <w:r>
        <w:rPr>
          <w:rFonts w:eastAsiaTheme="minorHAnsi"/>
          <w:noProof/>
          <w:lang w:val="es-MX" w:eastAsia="es-MX"/>
        </w:rPr>
        <w:drawing>
          <wp:inline distT="0" distB="0" distL="0" distR="0">
            <wp:extent cx="5014595" cy="3431540"/>
            <wp:effectExtent l="0" t="0" r="14605" b="1016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850C2" w:rsidRDefault="004850C2" w:rsidP="004850C2">
      <w:pPr>
        <w:widowControl w:val="0"/>
        <w:jc w:val="center"/>
        <w:rPr>
          <w:rFonts w:ascii="Barlow Medium" w:eastAsia="Arial" w:hAnsi="Barlow Medium" w:cs="Arial"/>
          <w:sz w:val="20"/>
          <w:lang w:eastAsia="en-US"/>
        </w:rPr>
      </w:pPr>
      <w:r>
        <w:rPr>
          <w:rFonts w:ascii="Barlow Medium" w:eastAsia="Arial" w:hAnsi="Barlow Medium" w:cs="Arial"/>
          <w:sz w:val="20"/>
          <w:lang w:eastAsia="en-US"/>
        </w:rPr>
        <w:t>Elaboración propia. Presupuesto 2019 Secretaría de Administración y Finanzas.</w:t>
      </w:r>
    </w:p>
    <w:p w:rsidR="004850C2" w:rsidRDefault="004850C2" w:rsidP="004850C2">
      <w:pPr>
        <w:widowControl w:val="0"/>
        <w:rPr>
          <w:rFonts w:ascii="Barlow Medium" w:eastAsia="Arial" w:hAnsi="Barlow Medium" w:cs="Arial"/>
          <w:lang w:eastAsia="en-US"/>
        </w:rPr>
      </w:pPr>
    </w:p>
    <w:p w:rsidR="004850C2" w:rsidRDefault="004850C2" w:rsidP="004850C2">
      <w:pPr>
        <w:widowControl w:val="0"/>
        <w:rPr>
          <w:rFonts w:ascii="Barlow Medium" w:eastAsia="Arial" w:hAnsi="Barlow Medium" w:cs="Arial"/>
          <w:lang w:eastAsia="en-US"/>
        </w:rPr>
      </w:pPr>
      <w:r>
        <w:rPr>
          <w:rFonts w:ascii="Barlow Medium" w:eastAsia="Arial" w:hAnsi="Barlow Medium" w:cs="Arial"/>
          <w:lang w:eastAsia="en-US"/>
        </w:rPr>
        <w:t xml:space="preserve">Para </w:t>
      </w:r>
      <w:r>
        <w:rPr>
          <w:rFonts w:ascii="Barlow Medium" w:eastAsia="Arial" w:hAnsi="Barlow Medium" w:cs="Arial"/>
          <w:spacing w:val="-2"/>
          <w:lang w:eastAsia="en-US"/>
        </w:rPr>
        <w:t>i</w:t>
      </w:r>
      <w:r>
        <w:rPr>
          <w:rFonts w:ascii="Barlow Medium" w:eastAsia="Arial" w:hAnsi="Barlow Medium" w:cs="Arial"/>
          <w:lang w:eastAsia="en-US"/>
        </w:rPr>
        <w:t>denti</w:t>
      </w:r>
      <w:r>
        <w:rPr>
          <w:rFonts w:ascii="Barlow Medium" w:eastAsia="Arial" w:hAnsi="Barlow Medium" w:cs="Arial"/>
          <w:spacing w:val="1"/>
          <w:lang w:eastAsia="en-US"/>
        </w:rPr>
        <w:t>f</w:t>
      </w:r>
      <w:r>
        <w:rPr>
          <w:rFonts w:ascii="Barlow Medium" w:eastAsia="Arial" w:hAnsi="Barlow Medium" w:cs="Arial"/>
          <w:spacing w:val="-2"/>
          <w:lang w:eastAsia="en-US"/>
        </w:rPr>
        <w:t>i</w:t>
      </w:r>
      <w:r>
        <w:rPr>
          <w:rFonts w:ascii="Barlow Medium" w:eastAsia="Arial" w:hAnsi="Barlow Medium" w:cs="Arial"/>
          <w:lang w:eastAsia="en-US"/>
        </w:rPr>
        <w:t>car el</w:t>
      </w:r>
      <w:r>
        <w:rPr>
          <w:rFonts w:ascii="Barlow Medium" w:eastAsia="Arial" w:hAnsi="Barlow Medium" w:cs="Arial"/>
          <w:spacing w:val="40"/>
          <w:lang w:eastAsia="en-US"/>
        </w:rPr>
        <w:t xml:space="preserve"> </w:t>
      </w:r>
      <w:r>
        <w:rPr>
          <w:rFonts w:ascii="Barlow Medium" w:eastAsia="Arial" w:hAnsi="Barlow Medium" w:cs="Arial"/>
          <w:lang w:eastAsia="en-US"/>
        </w:rPr>
        <w:t>dest</w:t>
      </w:r>
      <w:r>
        <w:rPr>
          <w:rFonts w:ascii="Barlow Medium" w:eastAsia="Arial" w:hAnsi="Barlow Medium" w:cs="Arial"/>
          <w:spacing w:val="-2"/>
          <w:lang w:eastAsia="en-US"/>
        </w:rPr>
        <w:t>i</w:t>
      </w:r>
      <w:r>
        <w:rPr>
          <w:rFonts w:ascii="Barlow Medium" w:eastAsia="Arial" w:hAnsi="Barlow Medium" w:cs="Arial"/>
          <w:lang w:eastAsia="en-US"/>
        </w:rPr>
        <w:t>no de la inversión según los</w:t>
      </w:r>
      <w:r>
        <w:rPr>
          <w:rFonts w:ascii="Barlow Medium" w:eastAsia="Arial" w:hAnsi="Barlow Medium" w:cs="Arial"/>
          <w:spacing w:val="43"/>
          <w:lang w:eastAsia="en-US"/>
        </w:rPr>
        <w:t xml:space="preserve"> </w:t>
      </w:r>
      <w:r>
        <w:rPr>
          <w:rFonts w:ascii="Barlow Medium" w:eastAsia="Arial" w:hAnsi="Barlow Medium" w:cs="Arial"/>
          <w:lang w:eastAsia="en-US"/>
        </w:rPr>
        <w:t>der</w:t>
      </w:r>
      <w:r>
        <w:rPr>
          <w:rFonts w:ascii="Barlow Medium" w:eastAsia="Arial" w:hAnsi="Barlow Medium" w:cs="Arial"/>
          <w:spacing w:val="1"/>
          <w:lang w:eastAsia="en-US"/>
        </w:rPr>
        <w:t>e</w:t>
      </w:r>
      <w:r>
        <w:rPr>
          <w:rFonts w:ascii="Barlow Medium" w:eastAsia="Arial" w:hAnsi="Barlow Medium" w:cs="Arial"/>
          <w:lang w:eastAsia="en-US"/>
        </w:rPr>
        <w:t>c</w:t>
      </w:r>
      <w:r>
        <w:rPr>
          <w:rFonts w:ascii="Barlow Medium" w:eastAsia="Arial" w:hAnsi="Barlow Medium" w:cs="Arial"/>
          <w:spacing w:val="-1"/>
          <w:lang w:eastAsia="en-US"/>
        </w:rPr>
        <w:t>h</w:t>
      </w:r>
      <w:r>
        <w:rPr>
          <w:rFonts w:ascii="Barlow Medium" w:eastAsia="Arial" w:hAnsi="Barlow Medium" w:cs="Arial"/>
          <w:lang w:eastAsia="en-US"/>
        </w:rPr>
        <w:t xml:space="preserve">os de </w:t>
      </w:r>
      <w:r>
        <w:rPr>
          <w:rFonts w:ascii="Barlow Medium" w:eastAsia="Arial" w:hAnsi="Barlow Medium" w:cs="Arial"/>
          <w:spacing w:val="-2"/>
          <w:lang w:eastAsia="en-US"/>
        </w:rPr>
        <w:t>l</w:t>
      </w:r>
      <w:r>
        <w:rPr>
          <w:rFonts w:ascii="Barlow Medium" w:eastAsia="Arial" w:hAnsi="Barlow Medium" w:cs="Arial"/>
          <w:lang w:eastAsia="en-US"/>
        </w:rPr>
        <w:t>os j</w:t>
      </w:r>
      <w:r>
        <w:rPr>
          <w:rFonts w:ascii="Barlow Medium" w:eastAsia="Arial" w:hAnsi="Barlow Medium" w:cs="Arial"/>
          <w:spacing w:val="1"/>
          <w:lang w:eastAsia="en-US"/>
        </w:rPr>
        <w:t>ó</w:t>
      </w:r>
      <w:r>
        <w:rPr>
          <w:rFonts w:ascii="Barlow Medium" w:eastAsia="Arial" w:hAnsi="Barlow Medium" w:cs="Arial"/>
          <w:spacing w:val="-2"/>
          <w:lang w:eastAsia="en-US"/>
        </w:rPr>
        <w:t>v</w:t>
      </w:r>
      <w:r>
        <w:rPr>
          <w:rFonts w:ascii="Barlow Medium" w:eastAsia="Arial" w:hAnsi="Barlow Medium" w:cs="Arial"/>
          <w:lang w:eastAsia="en-US"/>
        </w:rPr>
        <w:t>en</w:t>
      </w:r>
      <w:r>
        <w:rPr>
          <w:rFonts w:ascii="Barlow Medium" w:eastAsia="Arial" w:hAnsi="Barlow Medium" w:cs="Arial"/>
          <w:spacing w:val="1"/>
          <w:lang w:eastAsia="en-US"/>
        </w:rPr>
        <w:t>e</w:t>
      </w:r>
      <w:r>
        <w:rPr>
          <w:rFonts w:ascii="Barlow Medium" w:eastAsia="Arial" w:hAnsi="Barlow Medium" w:cs="Arial"/>
          <w:lang w:eastAsia="en-US"/>
        </w:rPr>
        <w:t xml:space="preserve">s, </w:t>
      </w:r>
      <w:r>
        <w:rPr>
          <w:rFonts w:ascii="Barlow Medium" w:eastAsia="Arial" w:hAnsi="Barlow Medium" w:cs="Arial"/>
          <w:w w:val="103"/>
          <w:lang w:eastAsia="en-US"/>
        </w:rPr>
        <w:t xml:space="preserve">se </w:t>
      </w:r>
      <w:r>
        <w:rPr>
          <w:rFonts w:ascii="Barlow Medium" w:eastAsia="Arial" w:hAnsi="Barlow Medium" w:cs="Arial"/>
          <w:lang w:eastAsia="en-US"/>
        </w:rPr>
        <w:t>c</w:t>
      </w:r>
      <w:r>
        <w:rPr>
          <w:rFonts w:ascii="Barlow Medium" w:eastAsia="Arial" w:hAnsi="Barlow Medium" w:cs="Arial"/>
          <w:spacing w:val="-2"/>
          <w:lang w:eastAsia="en-US"/>
        </w:rPr>
        <w:t>l</w:t>
      </w:r>
      <w:r>
        <w:rPr>
          <w:rFonts w:ascii="Barlow Medium" w:eastAsia="Arial" w:hAnsi="Barlow Medium" w:cs="Arial"/>
          <w:spacing w:val="1"/>
          <w:lang w:eastAsia="en-US"/>
        </w:rPr>
        <w:t>as</w:t>
      </w:r>
      <w:r>
        <w:rPr>
          <w:rFonts w:ascii="Barlow Medium" w:eastAsia="Arial" w:hAnsi="Barlow Medium" w:cs="Arial"/>
          <w:lang w:eastAsia="en-US"/>
        </w:rPr>
        <w:t>i</w:t>
      </w:r>
      <w:r>
        <w:rPr>
          <w:rFonts w:ascii="Barlow Medium" w:eastAsia="Arial" w:hAnsi="Barlow Medium" w:cs="Arial"/>
          <w:spacing w:val="-1"/>
          <w:lang w:eastAsia="en-US"/>
        </w:rPr>
        <w:t>f</w:t>
      </w:r>
      <w:r>
        <w:rPr>
          <w:rFonts w:ascii="Barlow Medium" w:eastAsia="Arial" w:hAnsi="Barlow Medium" w:cs="Arial"/>
          <w:lang w:eastAsia="en-US"/>
        </w:rPr>
        <w:t xml:space="preserve">icó </w:t>
      </w:r>
      <w:r>
        <w:rPr>
          <w:rFonts w:ascii="Barlow Medium" w:eastAsia="Arial" w:hAnsi="Barlow Medium" w:cs="Arial"/>
          <w:spacing w:val="-1"/>
          <w:lang w:eastAsia="en-US"/>
        </w:rPr>
        <w:t>d</w:t>
      </w:r>
      <w:r>
        <w:rPr>
          <w:rFonts w:ascii="Barlow Medium" w:eastAsia="Arial" w:hAnsi="Barlow Medium" w:cs="Arial"/>
          <w:lang w:eastAsia="en-US"/>
        </w:rPr>
        <w:t>e acuerdo</w:t>
      </w:r>
      <w:r>
        <w:rPr>
          <w:rFonts w:ascii="Barlow Medium" w:eastAsia="Arial" w:hAnsi="Barlow Medium" w:cs="Arial"/>
          <w:spacing w:val="11"/>
          <w:lang w:eastAsia="en-US"/>
        </w:rPr>
        <w:t xml:space="preserve"> </w:t>
      </w:r>
      <w:r>
        <w:rPr>
          <w:rFonts w:ascii="Barlow Medium" w:eastAsia="Arial" w:hAnsi="Barlow Medium" w:cs="Arial"/>
          <w:lang w:eastAsia="en-US"/>
        </w:rPr>
        <w:t>a</w:t>
      </w:r>
      <w:r>
        <w:rPr>
          <w:rFonts w:ascii="Barlow Medium" w:eastAsia="Arial" w:hAnsi="Barlow Medium" w:cs="Arial"/>
          <w:spacing w:val="47"/>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as</w:t>
      </w:r>
      <w:r>
        <w:rPr>
          <w:rFonts w:ascii="Barlow Medium" w:eastAsia="Arial" w:hAnsi="Barlow Medium" w:cs="Arial"/>
          <w:spacing w:val="52"/>
          <w:lang w:eastAsia="en-US"/>
        </w:rPr>
        <w:t xml:space="preserve"> </w:t>
      </w:r>
      <w:r>
        <w:rPr>
          <w:rFonts w:ascii="Barlow Medium" w:eastAsia="Arial" w:hAnsi="Barlow Medium" w:cs="Arial"/>
          <w:lang w:eastAsia="en-US"/>
        </w:rPr>
        <w:t>siguie</w:t>
      </w:r>
      <w:r>
        <w:rPr>
          <w:rFonts w:ascii="Barlow Medium" w:eastAsia="Arial" w:hAnsi="Barlow Medium" w:cs="Arial"/>
          <w:spacing w:val="-1"/>
          <w:lang w:eastAsia="en-US"/>
        </w:rPr>
        <w:t>n</w:t>
      </w:r>
      <w:r>
        <w:rPr>
          <w:rFonts w:ascii="Barlow Medium" w:eastAsia="Arial" w:hAnsi="Barlow Medium" w:cs="Arial"/>
          <w:lang w:eastAsia="en-US"/>
        </w:rPr>
        <w:t>tes</w:t>
      </w:r>
      <w:r>
        <w:rPr>
          <w:rFonts w:ascii="Barlow Medium" w:eastAsia="Arial" w:hAnsi="Barlow Medium" w:cs="Arial"/>
          <w:spacing w:val="15"/>
          <w:lang w:eastAsia="en-US"/>
        </w:rPr>
        <w:t xml:space="preserve"> </w:t>
      </w:r>
      <w:r>
        <w:rPr>
          <w:rFonts w:ascii="Barlow Medium" w:eastAsia="Arial" w:hAnsi="Barlow Medium" w:cs="Arial"/>
          <w:lang w:eastAsia="en-US"/>
        </w:rPr>
        <w:t>tem</w:t>
      </w:r>
      <w:r>
        <w:rPr>
          <w:rFonts w:ascii="Barlow Medium" w:eastAsia="Arial" w:hAnsi="Barlow Medium" w:cs="Arial"/>
          <w:spacing w:val="1"/>
          <w:lang w:eastAsia="en-US"/>
        </w:rPr>
        <w:t>á</w:t>
      </w:r>
      <w:r>
        <w:rPr>
          <w:rFonts w:ascii="Barlow Medium" w:eastAsia="Arial" w:hAnsi="Barlow Medium" w:cs="Arial"/>
          <w:lang w:eastAsia="en-US"/>
        </w:rPr>
        <w:t>t</w:t>
      </w:r>
      <w:r>
        <w:rPr>
          <w:rFonts w:ascii="Barlow Medium" w:eastAsia="Arial" w:hAnsi="Barlow Medium" w:cs="Arial"/>
          <w:spacing w:val="-1"/>
          <w:lang w:eastAsia="en-US"/>
        </w:rPr>
        <w:t>i</w:t>
      </w:r>
      <w:r>
        <w:rPr>
          <w:rFonts w:ascii="Barlow Medium" w:eastAsia="Arial" w:hAnsi="Barlow Medium" w:cs="Arial"/>
          <w:lang w:eastAsia="en-US"/>
        </w:rPr>
        <w:t>c</w:t>
      </w:r>
      <w:r>
        <w:rPr>
          <w:rFonts w:ascii="Barlow Medium" w:eastAsia="Arial" w:hAnsi="Barlow Medium" w:cs="Arial"/>
          <w:spacing w:val="1"/>
          <w:lang w:eastAsia="en-US"/>
        </w:rPr>
        <w:t>a</w:t>
      </w:r>
      <w:r>
        <w:rPr>
          <w:rFonts w:ascii="Barlow Medium" w:eastAsia="Arial" w:hAnsi="Barlow Medium" w:cs="Arial"/>
          <w:lang w:eastAsia="en-US"/>
        </w:rPr>
        <w:t xml:space="preserve">s: </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lang w:eastAsia="en-US"/>
        </w:rPr>
        <w:t>Educa</w:t>
      </w:r>
      <w:r>
        <w:rPr>
          <w:rFonts w:ascii="Barlow Medium" w:eastAsia="Arial" w:hAnsi="Barlow Medium" w:cs="Arial"/>
          <w:spacing w:val="-1"/>
          <w:lang w:eastAsia="en-US"/>
        </w:rPr>
        <w:t>c</w:t>
      </w:r>
      <w:r>
        <w:rPr>
          <w:rFonts w:ascii="Barlow Medium" w:eastAsia="Arial" w:hAnsi="Barlow Medium" w:cs="Arial"/>
          <w:lang w:eastAsia="en-US"/>
        </w:rPr>
        <w:t>ión</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lang w:eastAsia="en-US"/>
        </w:rPr>
        <w:lastRenderedPageBreak/>
        <w:t>Asistencia Social</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lang w:eastAsia="en-US"/>
        </w:rPr>
        <w:t>De</w:t>
      </w:r>
      <w:r>
        <w:rPr>
          <w:rFonts w:ascii="Barlow Medium" w:eastAsia="Arial" w:hAnsi="Barlow Medium" w:cs="Arial"/>
          <w:spacing w:val="1"/>
          <w:lang w:eastAsia="en-US"/>
        </w:rPr>
        <w:t>p</w:t>
      </w:r>
      <w:r>
        <w:rPr>
          <w:rFonts w:ascii="Barlow Medium" w:eastAsia="Arial" w:hAnsi="Barlow Medium" w:cs="Arial"/>
          <w:lang w:eastAsia="en-US"/>
        </w:rPr>
        <w:t>orte, cu</w:t>
      </w:r>
      <w:r>
        <w:rPr>
          <w:rFonts w:ascii="Barlow Medium" w:eastAsia="Arial" w:hAnsi="Barlow Medium" w:cs="Arial"/>
          <w:spacing w:val="-2"/>
          <w:lang w:eastAsia="en-US"/>
        </w:rPr>
        <w:t>l</w:t>
      </w:r>
      <w:r>
        <w:rPr>
          <w:rFonts w:ascii="Barlow Medium" w:eastAsia="Arial" w:hAnsi="Barlow Medium" w:cs="Arial"/>
          <w:lang w:eastAsia="en-US"/>
        </w:rPr>
        <w:t xml:space="preserve">tura </w:t>
      </w:r>
      <w:r>
        <w:rPr>
          <w:rFonts w:ascii="Barlow Medium" w:eastAsia="Arial" w:hAnsi="Barlow Medium" w:cs="Arial"/>
          <w:w w:val="103"/>
          <w:lang w:eastAsia="en-US"/>
        </w:rPr>
        <w:t xml:space="preserve">y </w:t>
      </w:r>
      <w:r>
        <w:rPr>
          <w:rFonts w:ascii="Barlow Medium" w:eastAsia="Arial" w:hAnsi="Barlow Medium" w:cs="Arial"/>
          <w:lang w:eastAsia="en-US"/>
        </w:rPr>
        <w:t>re</w:t>
      </w:r>
      <w:r>
        <w:rPr>
          <w:rFonts w:ascii="Barlow Medium" w:eastAsia="Arial" w:hAnsi="Barlow Medium" w:cs="Arial"/>
          <w:spacing w:val="-1"/>
          <w:lang w:eastAsia="en-US"/>
        </w:rPr>
        <w:t>c</w:t>
      </w:r>
      <w:r>
        <w:rPr>
          <w:rFonts w:ascii="Barlow Medium" w:eastAsia="Arial" w:hAnsi="Barlow Medium" w:cs="Arial"/>
          <w:spacing w:val="1"/>
          <w:lang w:eastAsia="en-US"/>
        </w:rPr>
        <w:t>r</w:t>
      </w:r>
      <w:r>
        <w:rPr>
          <w:rFonts w:ascii="Barlow Medium" w:eastAsia="Arial" w:hAnsi="Barlow Medium" w:cs="Arial"/>
          <w:spacing w:val="-1"/>
          <w:lang w:eastAsia="en-US"/>
        </w:rPr>
        <w:t>e</w:t>
      </w:r>
      <w:r>
        <w:rPr>
          <w:rFonts w:ascii="Barlow Medium" w:eastAsia="Arial" w:hAnsi="Barlow Medium" w:cs="Arial"/>
          <w:lang w:eastAsia="en-US"/>
        </w:rPr>
        <w:t>ación,</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spacing w:val="1"/>
          <w:lang w:eastAsia="en-US"/>
        </w:rPr>
        <w:t>Sa</w:t>
      </w:r>
      <w:r>
        <w:rPr>
          <w:rFonts w:ascii="Barlow Medium" w:eastAsia="Arial" w:hAnsi="Barlow Medium" w:cs="Arial"/>
          <w:lang w:eastAsia="en-US"/>
        </w:rPr>
        <w:t>lud</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spacing w:val="-1"/>
          <w:lang w:eastAsia="en-US"/>
        </w:rPr>
        <w:t>Ec</w:t>
      </w:r>
      <w:r>
        <w:rPr>
          <w:rFonts w:ascii="Barlow Medium" w:eastAsia="Arial" w:hAnsi="Barlow Medium" w:cs="Arial"/>
          <w:lang w:eastAsia="en-US"/>
        </w:rPr>
        <w:t>onom</w:t>
      </w:r>
      <w:r>
        <w:rPr>
          <w:rFonts w:ascii="Barlow Medium" w:eastAsia="Arial" w:hAnsi="Barlow Medium" w:cs="Arial"/>
          <w:spacing w:val="1"/>
          <w:lang w:eastAsia="en-US"/>
        </w:rPr>
        <w:t>í</w:t>
      </w:r>
      <w:r>
        <w:rPr>
          <w:rFonts w:ascii="Barlow Medium" w:eastAsia="Arial" w:hAnsi="Barlow Medium" w:cs="Arial"/>
          <w:lang w:eastAsia="en-US"/>
        </w:rPr>
        <w:t>a</w:t>
      </w:r>
      <w:r>
        <w:rPr>
          <w:rFonts w:ascii="Barlow Medium" w:eastAsia="Arial" w:hAnsi="Barlow Medium" w:cs="Arial"/>
          <w:spacing w:val="46"/>
          <w:lang w:eastAsia="en-US"/>
        </w:rPr>
        <w:t xml:space="preserve"> </w:t>
      </w:r>
      <w:r>
        <w:rPr>
          <w:rFonts w:ascii="Barlow Medium" w:eastAsia="Arial" w:hAnsi="Barlow Medium" w:cs="Arial"/>
          <w:lang w:eastAsia="en-US"/>
        </w:rPr>
        <w:t>y</w:t>
      </w:r>
      <w:r>
        <w:rPr>
          <w:rFonts w:ascii="Barlow Medium" w:eastAsia="Arial" w:hAnsi="Barlow Medium" w:cs="Arial"/>
          <w:spacing w:val="23"/>
          <w:lang w:eastAsia="en-US"/>
        </w:rPr>
        <w:t xml:space="preserve"> </w:t>
      </w:r>
      <w:r>
        <w:rPr>
          <w:rFonts w:ascii="Barlow Medium" w:eastAsia="Arial" w:hAnsi="Barlow Medium" w:cs="Arial"/>
          <w:lang w:eastAsia="en-US"/>
        </w:rPr>
        <w:t>tr</w:t>
      </w:r>
      <w:r>
        <w:rPr>
          <w:rFonts w:ascii="Barlow Medium" w:eastAsia="Arial" w:hAnsi="Barlow Medium" w:cs="Arial"/>
          <w:spacing w:val="1"/>
          <w:lang w:eastAsia="en-US"/>
        </w:rPr>
        <w:t>a</w:t>
      </w:r>
      <w:r>
        <w:rPr>
          <w:rFonts w:ascii="Barlow Medium" w:eastAsia="Arial" w:hAnsi="Barlow Medium" w:cs="Arial"/>
          <w:lang w:eastAsia="en-US"/>
        </w:rPr>
        <w:t>ba</w:t>
      </w:r>
      <w:r>
        <w:rPr>
          <w:rFonts w:ascii="Barlow Medium" w:eastAsia="Arial" w:hAnsi="Barlow Medium" w:cs="Arial"/>
          <w:spacing w:val="-2"/>
          <w:lang w:eastAsia="en-US"/>
        </w:rPr>
        <w:t>j</w:t>
      </w:r>
      <w:r>
        <w:rPr>
          <w:rFonts w:ascii="Barlow Medium" w:eastAsia="Arial" w:hAnsi="Barlow Medium" w:cs="Arial"/>
          <w:lang w:eastAsia="en-US"/>
        </w:rPr>
        <w:t>o,</w:t>
      </w:r>
      <w:r>
        <w:rPr>
          <w:rFonts w:ascii="Barlow Medium" w:eastAsia="Arial" w:hAnsi="Barlow Medium" w:cs="Arial"/>
          <w:spacing w:val="41"/>
          <w:lang w:eastAsia="en-US"/>
        </w:rPr>
        <w:t xml:space="preserve"> </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spacing w:val="1"/>
          <w:lang w:eastAsia="en-US"/>
        </w:rPr>
        <w:t>Seguridad legal</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lang w:eastAsia="en-US"/>
        </w:rPr>
        <w:t>Información</w:t>
      </w:r>
    </w:p>
    <w:p w:rsidR="004850C2" w:rsidRDefault="004850C2" w:rsidP="00E22205">
      <w:pPr>
        <w:widowControl w:val="0"/>
        <w:numPr>
          <w:ilvl w:val="0"/>
          <w:numId w:val="38"/>
        </w:numPr>
        <w:spacing w:after="200" w:line="276" w:lineRule="auto"/>
        <w:jc w:val="both"/>
        <w:rPr>
          <w:rFonts w:ascii="Barlow Medium" w:eastAsia="Arial" w:hAnsi="Barlow Medium" w:cs="Arial"/>
          <w:lang w:eastAsia="en-US"/>
        </w:rPr>
      </w:pPr>
      <w:r>
        <w:rPr>
          <w:rFonts w:ascii="Barlow Medium" w:eastAsia="Arial" w:hAnsi="Barlow Medium" w:cs="Arial"/>
          <w:lang w:eastAsia="en-US"/>
        </w:rPr>
        <w:t>Vivienda</w:t>
      </w:r>
    </w:p>
    <w:p w:rsidR="004850C2" w:rsidRDefault="004850C2" w:rsidP="004850C2">
      <w:pPr>
        <w:widowControl w:val="0"/>
        <w:ind w:left="360"/>
        <w:jc w:val="both"/>
        <w:rPr>
          <w:rFonts w:ascii="Barlow Medium" w:eastAsia="Arial" w:hAnsi="Barlow Medium" w:cs="Arial"/>
          <w:lang w:eastAsia="en-US"/>
        </w:rPr>
      </w:pPr>
      <w:r>
        <w:rPr>
          <w:rFonts w:ascii="Barlow Medium" w:eastAsia="Arial" w:hAnsi="Barlow Medium" w:cs="Arial"/>
          <w:lang w:eastAsia="en-US"/>
        </w:rPr>
        <w:t>Se</w:t>
      </w:r>
      <w:r>
        <w:rPr>
          <w:rFonts w:ascii="Barlow Medium" w:eastAsia="Arial" w:hAnsi="Barlow Medium" w:cs="Arial"/>
          <w:spacing w:val="3"/>
          <w:lang w:eastAsia="en-US"/>
        </w:rPr>
        <w:t xml:space="preserve"> </w:t>
      </w:r>
      <w:r>
        <w:rPr>
          <w:rFonts w:ascii="Barlow Medium" w:eastAsia="Arial" w:hAnsi="Barlow Medium" w:cs="Arial"/>
          <w:lang w:eastAsia="en-US"/>
        </w:rPr>
        <w:t>destaca</w:t>
      </w:r>
      <w:r>
        <w:rPr>
          <w:rFonts w:ascii="Barlow Medium" w:eastAsia="Arial" w:hAnsi="Barlow Medium" w:cs="Arial"/>
          <w:spacing w:val="18"/>
          <w:lang w:eastAsia="en-US"/>
        </w:rPr>
        <w:t xml:space="preserve"> </w:t>
      </w:r>
      <w:r>
        <w:rPr>
          <w:rFonts w:ascii="Barlow Medium" w:eastAsia="Arial" w:hAnsi="Barlow Medium" w:cs="Arial"/>
          <w:lang w:eastAsia="en-US"/>
        </w:rPr>
        <w:t>la i</w:t>
      </w:r>
      <w:r>
        <w:rPr>
          <w:rFonts w:ascii="Barlow Medium" w:eastAsia="Arial" w:hAnsi="Barlow Medium" w:cs="Arial"/>
          <w:spacing w:val="1"/>
          <w:lang w:eastAsia="en-US"/>
        </w:rPr>
        <w:t>n</w:t>
      </w:r>
      <w:r>
        <w:rPr>
          <w:rFonts w:ascii="Barlow Medium" w:eastAsia="Arial" w:hAnsi="Barlow Medium" w:cs="Arial"/>
          <w:lang w:eastAsia="en-US"/>
        </w:rPr>
        <w:t>vers</w:t>
      </w:r>
      <w:r>
        <w:rPr>
          <w:rFonts w:ascii="Barlow Medium" w:eastAsia="Arial" w:hAnsi="Barlow Medium" w:cs="Arial"/>
          <w:spacing w:val="-2"/>
          <w:lang w:eastAsia="en-US"/>
        </w:rPr>
        <w:t>i</w:t>
      </w:r>
      <w:r>
        <w:rPr>
          <w:rFonts w:ascii="Barlow Medium" w:eastAsia="Arial" w:hAnsi="Barlow Medium" w:cs="Arial"/>
          <w:lang w:eastAsia="en-US"/>
        </w:rPr>
        <w:t>ón</w:t>
      </w:r>
      <w:r>
        <w:rPr>
          <w:rFonts w:ascii="Barlow Medium" w:eastAsia="Arial" w:hAnsi="Barlow Medium" w:cs="Arial"/>
          <w:spacing w:val="21"/>
          <w:lang w:eastAsia="en-US"/>
        </w:rPr>
        <w:t xml:space="preserve"> </w:t>
      </w:r>
      <w:r>
        <w:rPr>
          <w:rFonts w:ascii="Barlow Medium" w:eastAsia="Arial" w:hAnsi="Barlow Medium" w:cs="Arial"/>
          <w:lang w:eastAsia="en-US"/>
        </w:rPr>
        <w:t>en</w:t>
      </w:r>
      <w:r>
        <w:rPr>
          <w:rFonts w:ascii="Barlow Medium" w:eastAsia="Arial" w:hAnsi="Barlow Medium" w:cs="Arial"/>
          <w:spacing w:val="2"/>
          <w:lang w:eastAsia="en-US"/>
        </w:rPr>
        <w:t xml:space="preserve"> </w:t>
      </w:r>
      <w:r>
        <w:rPr>
          <w:rFonts w:ascii="Barlow Medium" w:eastAsia="Arial" w:hAnsi="Barlow Medium" w:cs="Arial"/>
          <w:lang w:eastAsia="en-US"/>
        </w:rPr>
        <w:t>Educación</w:t>
      </w:r>
      <w:r>
        <w:rPr>
          <w:rFonts w:ascii="Barlow Medium" w:eastAsia="Arial" w:hAnsi="Barlow Medium" w:cs="Arial"/>
          <w:spacing w:val="26"/>
          <w:lang w:eastAsia="en-US"/>
        </w:rPr>
        <w:t xml:space="preserve"> </w:t>
      </w:r>
      <w:r>
        <w:rPr>
          <w:rFonts w:ascii="Barlow Medium" w:eastAsia="Arial" w:hAnsi="Barlow Medium" w:cs="Arial"/>
          <w:lang w:eastAsia="en-US"/>
        </w:rPr>
        <w:t>en</w:t>
      </w:r>
      <w:r>
        <w:rPr>
          <w:rFonts w:ascii="Barlow Medium" w:eastAsia="Arial" w:hAnsi="Barlow Medium" w:cs="Arial"/>
          <w:spacing w:val="2"/>
          <w:lang w:eastAsia="en-US"/>
        </w:rPr>
        <w:t xml:space="preserve"> </w:t>
      </w:r>
      <w:r>
        <w:rPr>
          <w:rFonts w:ascii="Barlow Medium" w:eastAsia="Arial" w:hAnsi="Barlow Medium" w:cs="Arial"/>
          <w:lang w:eastAsia="en-US"/>
        </w:rPr>
        <w:t>el</w:t>
      </w:r>
      <w:r>
        <w:rPr>
          <w:rFonts w:ascii="Barlow Medium" w:eastAsia="Arial" w:hAnsi="Barlow Medium" w:cs="Arial"/>
          <w:spacing w:val="2"/>
          <w:lang w:eastAsia="en-US"/>
        </w:rPr>
        <w:t xml:space="preserve"> </w:t>
      </w:r>
      <w:r>
        <w:rPr>
          <w:rFonts w:ascii="Barlow Medium" w:eastAsia="Arial" w:hAnsi="Barlow Medium" w:cs="Arial"/>
          <w:spacing w:val="-1"/>
          <w:w w:val="103"/>
          <w:lang w:eastAsia="en-US"/>
        </w:rPr>
        <w:t>E</w:t>
      </w:r>
      <w:r>
        <w:rPr>
          <w:rFonts w:ascii="Barlow Medium" w:eastAsia="Arial" w:hAnsi="Barlow Medium" w:cs="Arial"/>
          <w:w w:val="103"/>
          <w:lang w:eastAsia="en-US"/>
        </w:rPr>
        <w:t>s</w:t>
      </w:r>
      <w:r>
        <w:rPr>
          <w:rFonts w:ascii="Barlow Medium" w:eastAsia="Arial" w:hAnsi="Barlow Medium" w:cs="Arial"/>
          <w:spacing w:val="1"/>
          <w:w w:val="103"/>
          <w:lang w:eastAsia="en-US"/>
        </w:rPr>
        <w:t>t</w:t>
      </w:r>
      <w:r>
        <w:rPr>
          <w:rFonts w:ascii="Barlow Medium" w:eastAsia="Arial" w:hAnsi="Barlow Medium" w:cs="Arial"/>
          <w:w w:val="103"/>
          <w:lang w:eastAsia="en-US"/>
        </w:rPr>
        <w:t xml:space="preserve">ado, </w:t>
      </w:r>
      <w:r>
        <w:rPr>
          <w:rFonts w:ascii="Barlow Medium" w:eastAsia="Arial" w:hAnsi="Barlow Medium" w:cs="Arial"/>
          <w:lang w:eastAsia="en-US"/>
        </w:rPr>
        <w:t>cuyo monto corresponde al 89.64% del total</w:t>
      </w:r>
      <w:r>
        <w:rPr>
          <w:rFonts w:ascii="Barlow Medium" w:eastAsia="Arial" w:hAnsi="Barlow Medium" w:cs="Arial"/>
          <w:spacing w:val="55"/>
          <w:lang w:eastAsia="en-US"/>
        </w:rPr>
        <w:t xml:space="preserve"> </w:t>
      </w:r>
      <w:r>
        <w:rPr>
          <w:rFonts w:ascii="Barlow Medium" w:eastAsia="Arial" w:hAnsi="Barlow Medium" w:cs="Arial"/>
          <w:lang w:eastAsia="en-US"/>
        </w:rPr>
        <w:t>de</w:t>
      </w:r>
      <w:r>
        <w:rPr>
          <w:rFonts w:ascii="Barlow Medium" w:eastAsia="Arial" w:hAnsi="Barlow Medium" w:cs="Arial"/>
          <w:spacing w:val="51"/>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a</w:t>
      </w:r>
      <w:r>
        <w:rPr>
          <w:rFonts w:ascii="Barlow Medium" w:eastAsia="Arial" w:hAnsi="Barlow Medium" w:cs="Arial"/>
          <w:spacing w:val="49"/>
          <w:lang w:eastAsia="en-US"/>
        </w:rPr>
        <w:t xml:space="preserve"> </w:t>
      </w:r>
      <w:r>
        <w:rPr>
          <w:rFonts w:ascii="Barlow Medium" w:eastAsia="Arial" w:hAnsi="Barlow Medium" w:cs="Arial"/>
          <w:lang w:eastAsia="en-US"/>
        </w:rPr>
        <w:t>i</w:t>
      </w:r>
      <w:r>
        <w:rPr>
          <w:rFonts w:ascii="Barlow Medium" w:eastAsia="Arial" w:hAnsi="Barlow Medium" w:cs="Arial"/>
          <w:spacing w:val="2"/>
          <w:lang w:eastAsia="en-US"/>
        </w:rPr>
        <w:t>n</w:t>
      </w:r>
      <w:r>
        <w:rPr>
          <w:rFonts w:ascii="Barlow Medium" w:eastAsia="Arial" w:hAnsi="Barlow Medium" w:cs="Arial"/>
          <w:lang w:eastAsia="en-US"/>
        </w:rPr>
        <w:t>versión en</w:t>
      </w:r>
      <w:r>
        <w:rPr>
          <w:rFonts w:ascii="Barlow Medium" w:eastAsia="Arial" w:hAnsi="Barlow Medium" w:cs="Arial"/>
          <w:spacing w:val="51"/>
          <w:lang w:eastAsia="en-US"/>
        </w:rPr>
        <w:t xml:space="preserve"> </w:t>
      </w:r>
      <w:r>
        <w:rPr>
          <w:rFonts w:ascii="Barlow Medium" w:eastAsia="Arial" w:hAnsi="Barlow Medium" w:cs="Arial"/>
          <w:lang w:eastAsia="en-US"/>
        </w:rPr>
        <w:t>jóvenes, lo</w:t>
      </w:r>
      <w:r>
        <w:rPr>
          <w:rFonts w:ascii="Barlow Medium" w:eastAsia="Arial" w:hAnsi="Barlow Medium" w:cs="Arial"/>
          <w:spacing w:val="49"/>
          <w:lang w:eastAsia="en-US"/>
        </w:rPr>
        <w:t xml:space="preserve"> </w:t>
      </w:r>
      <w:r>
        <w:rPr>
          <w:rFonts w:ascii="Barlow Medium" w:eastAsia="Arial" w:hAnsi="Barlow Medium" w:cs="Arial"/>
          <w:w w:val="103"/>
          <w:lang w:eastAsia="en-US"/>
        </w:rPr>
        <w:t>q</w:t>
      </w:r>
      <w:r>
        <w:rPr>
          <w:rFonts w:ascii="Barlow Medium" w:eastAsia="Arial" w:hAnsi="Barlow Medium" w:cs="Arial"/>
          <w:spacing w:val="2"/>
          <w:w w:val="103"/>
          <w:lang w:eastAsia="en-US"/>
        </w:rPr>
        <w:t>u</w:t>
      </w:r>
      <w:r>
        <w:rPr>
          <w:rFonts w:ascii="Barlow Medium" w:eastAsia="Arial" w:hAnsi="Barlow Medium" w:cs="Arial"/>
          <w:w w:val="103"/>
          <w:lang w:eastAsia="en-US"/>
        </w:rPr>
        <w:t xml:space="preserve">e </w:t>
      </w:r>
      <w:r>
        <w:rPr>
          <w:rFonts w:ascii="Barlow Medium" w:eastAsia="Arial" w:hAnsi="Barlow Medium" w:cs="Arial"/>
          <w:lang w:eastAsia="en-US"/>
        </w:rPr>
        <w:t>re</w:t>
      </w:r>
      <w:r>
        <w:rPr>
          <w:rFonts w:ascii="Barlow Medium" w:eastAsia="Arial" w:hAnsi="Barlow Medium" w:cs="Arial"/>
          <w:spacing w:val="-1"/>
          <w:lang w:eastAsia="en-US"/>
        </w:rPr>
        <w:t>p</w:t>
      </w:r>
      <w:r>
        <w:rPr>
          <w:rFonts w:ascii="Barlow Medium" w:eastAsia="Arial" w:hAnsi="Barlow Medium" w:cs="Arial"/>
          <w:spacing w:val="1"/>
          <w:lang w:eastAsia="en-US"/>
        </w:rPr>
        <w:t>r</w:t>
      </w:r>
      <w:r>
        <w:rPr>
          <w:rFonts w:ascii="Barlow Medium" w:eastAsia="Arial" w:hAnsi="Barlow Medium" w:cs="Arial"/>
          <w:lang w:eastAsia="en-US"/>
        </w:rPr>
        <w:t>e</w:t>
      </w:r>
      <w:r>
        <w:rPr>
          <w:rFonts w:ascii="Barlow Medium" w:eastAsia="Arial" w:hAnsi="Barlow Medium" w:cs="Arial"/>
          <w:spacing w:val="-1"/>
          <w:lang w:eastAsia="en-US"/>
        </w:rPr>
        <w:t>s</w:t>
      </w:r>
      <w:r>
        <w:rPr>
          <w:rFonts w:ascii="Barlow Medium" w:eastAsia="Arial" w:hAnsi="Barlow Medium" w:cs="Arial"/>
          <w:lang w:eastAsia="en-US"/>
        </w:rPr>
        <w:t>enta</w:t>
      </w:r>
      <w:r>
        <w:rPr>
          <w:rFonts w:ascii="Barlow Medium" w:eastAsia="Arial" w:hAnsi="Barlow Medium" w:cs="Arial"/>
          <w:spacing w:val="31"/>
          <w:lang w:eastAsia="en-US"/>
        </w:rPr>
        <w:t xml:space="preserve"> </w:t>
      </w:r>
      <w:r>
        <w:rPr>
          <w:rFonts w:ascii="Barlow Medium" w:eastAsia="Arial" w:hAnsi="Barlow Medium" w:cs="Arial"/>
          <w:lang w:eastAsia="en-US"/>
        </w:rPr>
        <w:t>un</w:t>
      </w:r>
      <w:r>
        <w:rPr>
          <w:rFonts w:ascii="Barlow Medium" w:eastAsia="Arial" w:hAnsi="Barlow Medium" w:cs="Arial"/>
          <w:spacing w:val="9"/>
          <w:lang w:eastAsia="en-US"/>
        </w:rPr>
        <w:t xml:space="preserve"> </w:t>
      </w:r>
      <w:r>
        <w:rPr>
          <w:rFonts w:ascii="Barlow Medium" w:eastAsia="Arial" w:hAnsi="Barlow Medium" w:cs="Arial"/>
          <w:lang w:eastAsia="en-US"/>
        </w:rPr>
        <w:t>monto</w:t>
      </w:r>
      <w:r>
        <w:rPr>
          <w:rFonts w:ascii="Barlow Medium" w:eastAsia="Arial" w:hAnsi="Barlow Medium" w:cs="Arial"/>
          <w:spacing w:val="19"/>
          <w:lang w:eastAsia="en-US"/>
        </w:rPr>
        <w:t xml:space="preserve"> </w:t>
      </w:r>
      <w:r>
        <w:rPr>
          <w:rFonts w:ascii="Barlow Medium" w:eastAsia="Arial" w:hAnsi="Barlow Medium" w:cs="Arial"/>
          <w:lang w:eastAsia="en-US"/>
        </w:rPr>
        <w:t>de</w:t>
      </w:r>
      <w:r>
        <w:rPr>
          <w:rFonts w:ascii="Barlow Medium" w:eastAsia="Arial" w:hAnsi="Barlow Medium" w:cs="Arial"/>
          <w:spacing w:val="9"/>
          <w:lang w:eastAsia="en-US"/>
        </w:rPr>
        <w:t xml:space="preserve"> </w:t>
      </w:r>
      <w:r>
        <w:rPr>
          <w:rFonts w:ascii="Barlow Medium" w:eastAsia="Arial" w:hAnsi="Barlow Medium" w:cs="Arial"/>
          <w:lang w:eastAsia="en-US"/>
        </w:rPr>
        <w:t>5 mil 472 millones 717 mil 906 pesos (Ver</w:t>
      </w:r>
      <w:r>
        <w:rPr>
          <w:rFonts w:ascii="Barlow Medium" w:eastAsia="Arial" w:hAnsi="Barlow Medium" w:cs="Arial"/>
          <w:spacing w:val="13"/>
          <w:lang w:eastAsia="en-US"/>
        </w:rPr>
        <w:t xml:space="preserve"> </w:t>
      </w:r>
      <w:r>
        <w:rPr>
          <w:rFonts w:ascii="Barlow Medium" w:eastAsia="Arial" w:hAnsi="Barlow Medium" w:cs="Arial"/>
          <w:lang w:eastAsia="en-US"/>
        </w:rPr>
        <w:t>gráfica</w:t>
      </w:r>
      <w:r>
        <w:rPr>
          <w:rFonts w:ascii="Barlow Medium" w:eastAsia="Arial" w:hAnsi="Barlow Medium" w:cs="Arial"/>
          <w:spacing w:val="20"/>
          <w:lang w:eastAsia="en-US"/>
        </w:rPr>
        <w:t xml:space="preserve"> 3</w:t>
      </w:r>
      <w:r>
        <w:rPr>
          <w:rFonts w:ascii="Barlow Medium" w:eastAsia="Arial" w:hAnsi="Barlow Medium" w:cs="Arial"/>
          <w:w w:val="103"/>
          <w:lang w:eastAsia="en-US"/>
        </w:rPr>
        <w:t>)</w:t>
      </w:r>
      <w:r>
        <w:rPr>
          <w:rFonts w:ascii="Barlow Medium" w:eastAsia="Arial" w:hAnsi="Barlow Medium" w:cs="Arial"/>
          <w:lang w:eastAsia="en-US"/>
        </w:rPr>
        <w:t>. Esta inversión se distribuirá en la atención de alumnos de los diferentes centros educativos, apoyos económicos, capacitación en temas prioritarios de salud reproductiva, promoción a la salud y prevención del delito.</w:t>
      </w:r>
    </w:p>
    <w:p w:rsidR="004850C2" w:rsidRDefault="004850C2" w:rsidP="004850C2">
      <w:pPr>
        <w:widowControl w:val="0"/>
        <w:jc w:val="center"/>
        <w:rPr>
          <w:rFonts w:ascii="Barlow Medium" w:eastAsia="Arial" w:hAnsi="Barlow Medium" w:cs="Arial"/>
          <w:lang w:eastAsia="en-US"/>
        </w:rPr>
      </w:pPr>
      <w:r>
        <w:rPr>
          <w:rFonts w:ascii="Barlow Medium" w:eastAsia="Arial" w:hAnsi="Barlow Medium" w:cs="Arial"/>
          <w:b/>
          <w:bCs/>
          <w:lang w:eastAsia="en-US"/>
        </w:rPr>
        <w:t>Gráfica 3. Temática de la inversión</w:t>
      </w:r>
    </w:p>
    <w:p w:rsidR="004850C2" w:rsidRDefault="004850C2" w:rsidP="004850C2">
      <w:pPr>
        <w:widowControl w:val="0"/>
        <w:jc w:val="center"/>
        <w:rPr>
          <w:rFonts w:ascii="Barlow Medium" w:eastAsiaTheme="minorHAnsi" w:hAnsi="Barlow Medium" w:cs="Arial"/>
          <w:lang w:eastAsia="en-US"/>
        </w:rPr>
      </w:pPr>
      <w:r>
        <w:rPr>
          <w:rFonts w:eastAsiaTheme="minorHAnsi"/>
          <w:noProof/>
          <w:lang w:val="es-MX" w:eastAsia="es-MX"/>
        </w:rPr>
        <w:drawing>
          <wp:inline distT="0" distB="0" distL="0" distR="0">
            <wp:extent cx="5624195" cy="2447925"/>
            <wp:effectExtent l="0" t="0" r="14605" b="1587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850C2" w:rsidRDefault="004850C2" w:rsidP="004850C2">
      <w:pPr>
        <w:widowControl w:val="0"/>
        <w:jc w:val="center"/>
        <w:rPr>
          <w:rFonts w:ascii="Barlow Medium" w:eastAsia="Arial" w:hAnsi="Barlow Medium" w:cs="Arial"/>
          <w:sz w:val="20"/>
          <w:szCs w:val="20"/>
          <w:lang w:eastAsia="en-US"/>
        </w:rPr>
      </w:pPr>
      <w:r>
        <w:rPr>
          <w:rFonts w:ascii="Barlow Medium" w:eastAsia="Arial" w:hAnsi="Barlow Medium" w:cs="Arial"/>
          <w:sz w:val="20"/>
          <w:szCs w:val="20"/>
          <w:lang w:eastAsia="en-US"/>
        </w:rPr>
        <w:t>Elaboración propia. Presupuesto 2019 Secretaría de Administración y Finanzas.</w:t>
      </w:r>
    </w:p>
    <w:p w:rsidR="004850C2" w:rsidRDefault="004850C2" w:rsidP="004850C2">
      <w:pPr>
        <w:widowControl w:val="0"/>
        <w:jc w:val="both"/>
        <w:rPr>
          <w:rFonts w:ascii="Barlow Medium" w:eastAsia="Arial" w:hAnsi="Barlow Medium" w:cs="Arial"/>
          <w:lang w:eastAsia="en-US"/>
        </w:rPr>
      </w:pPr>
      <w:r>
        <w:rPr>
          <w:rFonts w:ascii="Barlow Medium" w:eastAsia="Arial" w:hAnsi="Barlow Medium" w:cs="Arial"/>
          <w:lang w:eastAsia="en-US"/>
        </w:rPr>
        <w:t xml:space="preserve">En la tabla 1 se presenta la inversión de acuerdo a los proyectos que impactan a los Objetivos de Desarrollo Sostenible (ODS), cabe mencionar que no todas las UBP se vinculan con algún objetivo. </w:t>
      </w:r>
    </w:p>
    <w:p w:rsidR="004850C2" w:rsidRDefault="004850C2" w:rsidP="004850C2">
      <w:pPr>
        <w:widowControl w:val="0"/>
        <w:jc w:val="center"/>
        <w:rPr>
          <w:rFonts w:ascii="Barlow Medium" w:eastAsia="Arial" w:hAnsi="Barlow Medium" w:cs="Arial"/>
          <w:b/>
          <w:lang w:eastAsia="en-US"/>
        </w:rPr>
      </w:pPr>
      <w:r>
        <w:rPr>
          <w:rFonts w:ascii="Barlow Medium" w:eastAsia="Arial" w:hAnsi="Barlow Medium" w:cs="Arial"/>
          <w:b/>
          <w:lang w:eastAsia="en-US"/>
        </w:rPr>
        <w:t>Tabla 1. Inversión por objetivo</w:t>
      </w:r>
    </w:p>
    <w:tbl>
      <w:tblPr>
        <w:tblW w:w="0" w:type="auto"/>
        <w:tblLook w:val="04A0"/>
      </w:tblPr>
      <w:tblGrid>
        <w:gridCol w:w="8079"/>
        <w:gridCol w:w="2041"/>
      </w:tblGrid>
      <w:tr w:rsidR="004850C2" w:rsidTr="004850C2">
        <w:trPr>
          <w:trHeight w:val="449"/>
        </w:trPr>
        <w:tc>
          <w:tcPr>
            <w:tcW w:w="0" w:type="auto"/>
            <w:noWrap/>
            <w:hideMark/>
          </w:tcPr>
          <w:p w:rsidR="004850C2" w:rsidRDefault="004850C2">
            <w:pPr>
              <w:jc w:val="center"/>
              <w:rPr>
                <w:rFonts w:ascii="Barlow Medium" w:eastAsia="Times New Roman" w:hAnsi="Barlow Medium"/>
                <w:sz w:val="20"/>
                <w:szCs w:val="20"/>
              </w:rPr>
            </w:pPr>
            <w:r>
              <w:rPr>
                <w:rFonts w:ascii="Barlow Medium" w:hAnsi="Barlow Medium"/>
                <w:sz w:val="20"/>
                <w:szCs w:val="20"/>
              </w:rPr>
              <w:t>Objetivos de Desarrollo Sostenible</w:t>
            </w:r>
            <w:r>
              <w:rPr>
                <w:rFonts w:ascii="Barlow Medium" w:eastAsia="Times New Roman" w:hAnsi="Barlow Medium"/>
                <w:sz w:val="20"/>
                <w:szCs w:val="20"/>
              </w:rPr>
              <w:t xml:space="preserve"> </w:t>
            </w:r>
          </w:p>
          <w:p w:rsidR="004850C2" w:rsidRDefault="004850C2">
            <w:pPr>
              <w:jc w:val="center"/>
              <w:rPr>
                <w:rFonts w:ascii="Barlow Medium" w:eastAsia="Times New Roman" w:hAnsi="Barlow Medium"/>
                <w:sz w:val="20"/>
                <w:szCs w:val="20"/>
              </w:rPr>
            </w:pPr>
            <w:r>
              <w:rPr>
                <w:rFonts w:ascii="Barlow Medium" w:eastAsia="Times New Roman" w:hAnsi="Barlow Medium"/>
                <w:sz w:val="20"/>
                <w:szCs w:val="20"/>
              </w:rPr>
              <w:t>(ODS)</w:t>
            </w:r>
          </w:p>
        </w:tc>
        <w:tc>
          <w:tcPr>
            <w:tcW w:w="0" w:type="auto"/>
            <w:hideMark/>
          </w:tcPr>
          <w:p w:rsidR="004850C2" w:rsidRDefault="004850C2">
            <w:pPr>
              <w:jc w:val="center"/>
              <w:rPr>
                <w:rFonts w:ascii="Barlow Medium" w:eastAsia="Times New Roman" w:hAnsi="Barlow Medium"/>
                <w:sz w:val="20"/>
                <w:szCs w:val="20"/>
              </w:rPr>
            </w:pPr>
            <w:r>
              <w:rPr>
                <w:rFonts w:ascii="Barlow Medium" w:eastAsia="Times New Roman" w:hAnsi="Barlow Medium"/>
                <w:sz w:val="20"/>
                <w:szCs w:val="20"/>
              </w:rPr>
              <w:t>Presupuesto 2019 (pesos)</w:t>
            </w:r>
          </w:p>
        </w:tc>
      </w:tr>
      <w:tr w:rsidR="004850C2" w:rsidTr="004850C2">
        <w:trPr>
          <w:trHeight w:val="248"/>
        </w:trPr>
        <w:tc>
          <w:tcPr>
            <w:tcW w:w="0" w:type="auto"/>
            <w:tcBorders>
              <w:top w:val="nil"/>
              <w:bottom w:val="nil"/>
            </w:tcBorders>
            <w:shd w:val="clear" w:color="auto" w:fill="F2F2F2" w:themeFill="background1" w:themeFillShade="F2"/>
          </w:tcPr>
          <w:p w:rsidR="004850C2" w:rsidRDefault="004850C2">
            <w:pPr>
              <w:rPr>
                <w:rFonts w:ascii="Barlow Medium" w:eastAsia="Times New Roman" w:hAnsi="Barlow Medium"/>
                <w:b/>
                <w:color w:val="000000"/>
                <w:sz w:val="20"/>
                <w:szCs w:val="20"/>
              </w:rPr>
            </w:pPr>
          </w:p>
          <w:p w:rsidR="004850C2" w:rsidRDefault="004850C2">
            <w:pPr>
              <w:rPr>
                <w:rFonts w:ascii="Barlow Medium" w:eastAsia="Times New Roman" w:hAnsi="Barlow Medium"/>
                <w:b/>
                <w:color w:val="000000"/>
                <w:sz w:val="20"/>
                <w:szCs w:val="20"/>
              </w:rPr>
            </w:pPr>
            <w:r>
              <w:rPr>
                <w:rFonts w:ascii="Barlow Medium" w:eastAsia="Times New Roman" w:hAnsi="Barlow Medium"/>
                <w:b/>
                <w:color w:val="000000"/>
                <w:sz w:val="20"/>
                <w:szCs w:val="20"/>
              </w:rPr>
              <w:t>Objetivo 2. Poner fin al hambre, lograr la seguridad alimentaria y la mejora de la nutrición y promover la agricultura sostenible.</w:t>
            </w:r>
          </w:p>
        </w:tc>
        <w:tc>
          <w:tcPr>
            <w:tcW w:w="0" w:type="auto"/>
            <w:tcBorders>
              <w:top w:val="nil"/>
              <w:bottom w:val="nil"/>
            </w:tcBorders>
            <w:shd w:val="clear" w:color="auto" w:fill="F2F2F2" w:themeFill="background1" w:themeFillShade="F2"/>
            <w:noWrap/>
            <w:vAlign w:val="center"/>
            <w:hideMark/>
          </w:tcPr>
          <w:p w:rsidR="004850C2" w:rsidRDefault="004850C2">
            <w:pPr>
              <w:jc w:val="right"/>
              <w:rPr>
                <w:rFonts w:ascii="Barlow Medium" w:eastAsia="Times New Roman" w:hAnsi="Barlow Medium"/>
                <w:color w:val="000000"/>
                <w:sz w:val="20"/>
                <w:szCs w:val="20"/>
                <w:highlight w:val="yellow"/>
              </w:rPr>
            </w:pPr>
            <w:r>
              <w:rPr>
                <w:rFonts w:ascii="Barlow Medium" w:eastAsia="Times New Roman" w:hAnsi="Barlow Medium"/>
                <w:color w:val="000000"/>
                <w:sz w:val="20"/>
                <w:szCs w:val="20"/>
              </w:rPr>
              <w:t>25,089,510</w:t>
            </w:r>
          </w:p>
        </w:tc>
      </w:tr>
      <w:tr w:rsidR="004850C2" w:rsidTr="004850C2">
        <w:trPr>
          <w:trHeight w:val="248"/>
        </w:trPr>
        <w:tc>
          <w:tcPr>
            <w:tcW w:w="0" w:type="auto"/>
            <w:tcBorders>
              <w:top w:val="nil"/>
              <w:left w:val="nil"/>
              <w:bottom w:val="nil"/>
              <w:right w:val="nil"/>
            </w:tcBorders>
          </w:tcPr>
          <w:p w:rsidR="004850C2" w:rsidRDefault="004850C2">
            <w:pPr>
              <w:rPr>
                <w:rFonts w:ascii="Barlow Medium" w:eastAsia="Times New Roman" w:hAnsi="Barlow Medium"/>
                <w:b/>
                <w:color w:val="000000"/>
                <w:sz w:val="20"/>
                <w:szCs w:val="20"/>
              </w:rPr>
            </w:pPr>
          </w:p>
          <w:p w:rsidR="004850C2" w:rsidRDefault="004850C2">
            <w:pPr>
              <w:rPr>
                <w:rFonts w:ascii="Barlow Medium" w:eastAsia="Times New Roman" w:hAnsi="Barlow Medium"/>
                <w:b/>
                <w:color w:val="000000"/>
                <w:sz w:val="20"/>
                <w:szCs w:val="20"/>
              </w:rPr>
            </w:pPr>
            <w:r>
              <w:rPr>
                <w:rFonts w:ascii="Barlow Medium" w:eastAsia="Times New Roman" w:hAnsi="Barlow Medium"/>
                <w:b/>
                <w:color w:val="000000"/>
                <w:sz w:val="20"/>
                <w:szCs w:val="20"/>
              </w:rPr>
              <w:lastRenderedPageBreak/>
              <w:t>Objetivo 3. Garantizar una vida sana y promover el bienestar para todos en todas las edades.</w:t>
            </w:r>
          </w:p>
        </w:tc>
        <w:tc>
          <w:tcPr>
            <w:tcW w:w="0" w:type="auto"/>
            <w:tcBorders>
              <w:top w:val="nil"/>
              <w:left w:val="nil"/>
              <w:bottom w:val="nil"/>
              <w:right w:val="nil"/>
            </w:tcBorders>
            <w:noWrap/>
            <w:vAlign w:val="center"/>
            <w:hideMark/>
          </w:tcPr>
          <w:p w:rsidR="004850C2" w:rsidRDefault="004850C2">
            <w:pPr>
              <w:jc w:val="right"/>
              <w:rPr>
                <w:rFonts w:ascii="Barlow Medium" w:eastAsia="Times New Roman" w:hAnsi="Barlow Medium"/>
                <w:color w:val="000000"/>
                <w:sz w:val="20"/>
                <w:szCs w:val="20"/>
                <w:highlight w:val="yellow"/>
              </w:rPr>
            </w:pPr>
            <w:r>
              <w:rPr>
                <w:rFonts w:ascii="Barlow Medium" w:eastAsia="Times New Roman" w:hAnsi="Barlow Medium"/>
                <w:color w:val="000000"/>
                <w:sz w:val="20"/>
                <w:szCs w:val="20"/>
              </w:rPr>
              <w:lastRenderedPageBreak/>
              <w:t>481,793,425</w:t>
            </w:r>
          </w:p>
        </w:tc>
      </w:tr>
      <w:tr w:rsidR="004850C2" w:rsidTr="004850C2">
        <w:trPr>
          <w:trHeight w:val="860"/>
        </w:trPr>
        <w:tc>
          <w:tcPr>
            <w:tcW w:w="0" w:type="auto"/>
            <w:tcBorders>
              <w:top w:val="nil"/>
              <w:bottom w:val="nil"/>
            </w:tcBorders>
            <w:shd w:val="clear" w:color="auto" w:fill="F2F2F2" w:themeFill="background1" w:themeFillShade="F2"/>
          </w:tcPr>
          <w:p w:rsidR="004850C2" w:rsidRDefault="004850C2">
            <w:pPr>
              <w:rPr>
                <w:rFonts w:ascii="Barlow Medium" w:eastAsia="Times New Roman" w:hAnsi="Barlow Medium"/>
                <w:b/>
                <w:color w:val="000000"/>
                <w:sz w:val="20"/>
                <w:szCs w:val="20"/>
              </w:rPr>
            </w:pPr>
          </w:p>
          <w:p w:rsidR="004850C2" w:rsidRDefault="004850C2">
            <w:pPr>
              <w:rPr>
                <w:rFonts w:ascii="Barlow Medium" w:eastAsia="Times New Roman" w:hAnsi="Barlow Medium"/>
                <w:b/>
                <w:color w:val="000000"/>
                <w:sz w:val="20"/>
                <w:szCs w:val="20"/>
              </w:rPr>
            </w:pPr>
            <w:r>
              <w:rPr>
                <w:rFonts w:ascii="Barlow Medium" w:eastAsia="Times New Roman" w:hAnsi="Barlow Medium"/>
                <w:b/>
                <w:color w:val="000000"/>
                <w:sz w:val="20"/>
                <w:szCs w:val="20"/>
              </w:rPr>
              <w:t>Objetivo 4. Garantizar una educación inclusiva, equitativa y de calidad y promover oportunidades de aprendizaje durante toda la vida para todos.</w:t>
            </w:r>
          </w:p>
        </w:tc>
        <w:tc>
          <w:tcPr>
            <w:tcW w:w="0" w:type="auto"/>
            <w:tcBorders>
              <w:top w:val="nil"/>
              <w:bottom w:val="nil"/>
            </w:tcBorders>
            <w:shd w:val="clear" w:color="auto" w:fill="F2F2F2" w:themeFill="background1" w:themeFillShade="F2"/>
            <w:noWrap/>
            <w:vAlign w:val="center"/>
            <w:hideMark/>
          </w:tcPr>
          <w:p w:rsidR="004850C2" w:rsidRDefault="004850C2">
            <w:pPr>
              <w:jc w:val="right"/>
              <w:rPr>
                <w:rFonts w:ascii="Barlow Medium" w:eastAsia="Times New Roman" w:hAnsi="Barlow Medium"/>
                <w:color w:val="000000"/>
                <w:sz w:val="20"/>
                <w:szCs w:val="20"/>
                <w:highlight w:val="yellow"/>
              </w:rPr>
            </w:pPr>
            <w:r>
              <w:rPr>
                <w:rFonts w:ascii="Barlow Medium" w:eastAsia="Times New Roman" w:hAnsi="Barlow Medium"/>
                <w:color w:val="000000"/>
                <w:sz w:val="20"/>
                <w:szCs w:val="20"/>
              </w:rPr>
              <w:t>5, 492, 420, 426</w:t>
            </w:r>
          </w:p>
        </w:tc>
      </w:tr>
      <w:tr w:rsidR="004850C2" w:rsidTr="004850C2">
        <w:trPr>
          <w:trHeight w:val="622"/>
        </w:trPr>
        <w:tc>
          <w:tcPr>
            <w:tcW w:w="0" w:type="auto"/>
            <w:tcBorders>
              <w:top w:val="nil"/>
              <w:left w:val="nil"/>
              <w:bottom w:val="nil"/>
              <w:right w:val="nil"/>
            </w:tcBorders>
          </w:tcPr>
          <w:p w:rsidR="004850C2" w:rsidRDefault="004850C2">
            <w:pPr>
              <w:rPr>
                <w:rFonts w:ascii="Barlow Medium" w:eastAsia="Times New Roman" w:hAnsi="Barlow Medium"/>
                <w:b/>
                <w:color w:val="000000"/>
                <w:sz w:val="20"/>
                <w:szCs w:val="20"/>
              </w:rPr>
            </w:pPr>
          </w:p>
          <w:p w:rsidR="004850C2" w:rsidRDefault="004850C2">
            <w:pPr>
              <w:rPr>
                <w:rFonts w:ascii="Barlow Medium" w:eastAsia="Times New Roman" w:hAnsi="Barlow Medium"/>
                <w:b/>
                <w:color w:val="000000"/>
                <w:sz w:val="20"/>
                <w:szCs w:val="20"/>
              </w:rPr>
            </w:pPr>
            <w:r>
              <w:rPr>
                <w:rFonts w:ascii="Barlow Medium" w:eastAsia="Times New Roman" w:hAnsi="Barlow Medium"/>
                <w:b/>
                <w:color w:val="000000"/>
                <w:sz w:val="20"/>
                <w:szCs w:val="20"/>
              </w:rPr>
              <w:t>Objetivo 5. Lograr la igualdad entre los géneros y empoderar a todas las mujeres y las niñas.</w:t>
            </w:r>
          </w:p>
        </w:tc>
        <w:tc>
          <w:tcPr>
            <w:tcW w:w="0" w:type="auto"/>
            <w:tcBorders>
              <w:top w:val="nil"/>
              <w:left w:val="nil"/>
              <w:bottom w:val="nil"/>
              <w:right w:val="nil"/>
            </w:tcBorders>
            <w:noWrap/>
            <w:vAlign w:val="center"/>
            <w:hideMark/>
          </w:tcPr>
          <w:p w:rsidR="004850C2" w:rsidRDefault="004850C2">
            <w:pPr>
              <w:jc w:val="right"/>
              <w:rPr>
                <w:rFonts w:ascii="Barlow Medium" w:eastAsia="Times New Roman" w:hAnsi="Barlow Medium"/>
                <w:color w:val="000000"/>
                <w:sz w:val="20"/>
                <w:szCs w:val="20"/>
                <w:highlight w:val="yellow"/>
              </w:rPr>
            </w:pPr>
            <w:r>
              <w:rPr>
                <w:rFonts w:ascii="Barlow Medium" w:eastAsia="Times New Roman" w:hAnsi="Barlow Medium"/>
                <w:color w:val="000000"/>
                <w:sz w:val="20"/>
                <w:szCs w:val="20"/>
              </w:rPr>
              <w:t>6, 050, 630</w:t>
            </w:r>
          </w:p>
        </w:tc>
      </w:tr>
      <w:tr w:rsidR="004850C2" w:rsidTr="004850C2">
        <w:trPr>
          <w:trHeight w:val="933"/>
        </w:trPr>
        <w:tc>
          <w:tcPr>
            <w:tcW w:w="0" w:type="auto"/>
            <w:tcBorders>
              <w:top w:val="nil"/>
              <w:bottom w:val="nil"/>
            </w:tcBorders>
            <w:shd w:val="clear" w:color="auto" w:fill="F2F2F2" w:themeFill="background1" w:themeFillShade="F2"/>
          </w:tcPr>
          <w:p w:rsidR="004850C2" w:rsidRDefault="004850C2">
            <w:pPr>
              <w:rPr>
                <w:rFonts w:ascii="Barlow Medium" w:eastAsia="Times New Roman" w:hAnsi="Barlow Medium"/>
                <w:b/>
                <w:color w:val="000000"/>
                <w:sz w:val="20"/>
                <w:szCs w:val="20"/>
              </w:rPr>
            </w:pPr>
          </w:p>
          <w:p w:rsidR="004850C2" w:rsidRDefault="004850C2">
            <w:pPr>
              <w:rPr>
                <w:rFonts w:ascii="Barlow Medium" w:eastAsia="Times New Roman" w:hAnsi="Barlow Medium"/>
                <w:b/>
                <w:color w:val="000000"/>
                <w:sz w:val="20"/>
                <w:szCs w:val="20"/>
              </w:rPr>
            </w:pPr>
            <w:r>
              <w:rPr>
                <w:rFonts w:ascii="Barlow Medium" w:eastAsia="Times New Roman" w:hAnsi="Barlow Medium"/>
                <w:b/>
                <w:color w:val="000000"/>
                <w:sz w:val="20"/>
                <w:szCs w:val="20"/>
              </w:rPr>
              <w:t>Objetivo 8. Promover el crecimiento económico sostenido, inclusivo y sostenible, el empleo pleno y productivo y el trabajo decente para todos.</w:t>
            </w:r>
          </w:p>
        </w:tc>
        <w:tc>
          <w:tcPr>
            <w:tcW w:w="0" w:type="auto"/>
            <w:tcBorders>
              <w:top w:val="nil"/>
              <w:bottom w:val="nil"/>
            </w:tcBorders>
            <w:shd w:val="clear" w:color="auto" w:fill="F2F2F2" w:themeFill="background1" w:themeFillShade="F2"/>
            <w:noWrap/>
            <w:vAlign w:val="center"/>
            <w:hideMark/>
          </w:tcPr>
          <w:p w:rsidR="004850C2" w:rsidRDefault="004850C2">
            <w:pPr>
              <w:jc w:val="right"/>
              <w:rPr>
                <w:rFonts w:ascii="Barlow Medium" w:eastAsia="Times New Roman" w:hAnsi="Barlow Medium"/>
                <w:color w:val="000000"/>
                <w:sz w:val="20"/>
                <w:szCs w:val="20"/>
                <w:highlight w:val="yellow"/>
              </w:rPr>
            </w:pPr>
            <w:r>
              <w:rPr>
                <w:rFonts w:ascii="Barlow Medium" w:eastAsia="Times New Roman" w:hAnsi="Barlow Medium"/>
                <w:color w:val="000000"/>
                <w:sz w:val="20"/>
                <w:szCs w:val="20"/>
              </w:rPr>
              <w:t>35, 654, 207</w:t>
            </w:r>
          </w:p>
        </w:tc>
      </w:tr>
      <w:tr w:rsidR="004850C2" w:rsidTr="004850C2">
        <w:trPr>
          <w:trHeight w:val="124"/>
        </w:trPr>
        <w:tc>
          <w:tcPr>
            <w:tcW w:w="0" w:type="auto"/>
            <w:tcBorders>
              <w:top w:val="nil"/>
              <w:left w:val="nil"/>
              <w:bottom w:val="single" w:sz="8" w:space="0" w:color="5AA2AE" w:themeColor="accent5"/>
              <w:right w:val="nil"/>
            </w:tcBorders>
            <w:noWrap/>
            <w:hideMark/>
          </w:tcPr>
          <w:p w:rsidR="004850C2" w:rsidRDefault="004850C2">
            <w:pPr>
              <w:rPr>
                <w:rFonts w:ascii="Barlow Medium" w:eastAsia="Times New Roman" w:hAnsi="Barlow Medium"/>
                <w:color w:val="000000"/>
                <w:sz w:val="20"/>
                <w:szCs w:val="20"/>
              </w:rPr>
            </w:pPr>
            <w:r>
              <w:rPr>
                <w:rFonts w:ascii="Barlow Medium" w:eastAsia="Times New Roman" w:hAnsi="Barlow Medium"/>
                <w:color w:val="000000"/>
                <w:sz w:val="20"/>
                <w:szCs w:val="20"/>
              </w:rPr>
              <w:t>Total general</w:t>
            </w:r>
          </w:p>
        </w:tc>
        <w:tc>
          <w:tcPr>
            <w:tcW w:w="0" w:type="auto"/>
            <w:tcBorders>
              <w:top w:val="nil"/>
              <w:left w:val="nil"/>
              <w:bottom w:val="single" w:sz="8" w:space="0" w:color="5AA2AE" w:themeColor="accent5"/>
              <w:right w:val="nil"/>
            </w:tcBorders>
            <w:noWrap/>
            <w:hideMark/>
          </w:tcPr>
          <w:p w:rsidR="004850C2" w:rsidRDefault="004850C2">
            <w:pPr>
              <w:jc w:val="right"/>
              <w:rPr>
                <w:rFonts w:ascii="Barlow Medium" w:eastAsia="Times New Roman" w:hAnsi="Barlow Medium"/>
                <w:b/>
                <w:color w:val="000000"/>
                <w:sz w:val="20"/>
                <w:szCs w:val="20"/>
                <w:highlight w:val="yellow"/>
              </w:rPr>
            </w:pPr>
            <w:r>
              <w:rPr>
                <w:rFonts w:ascii="Barlow Medium" w:eastAsia="Times New Roman" w:hAnsi="Barlow Medium"/>
                <w:b/>
                <w:color w:val="000000"/>
                <w:sz w:val="20"/>
                <w:szCs w:val="20"/>
              </w:rPr>
              <w:t>6,041,008,198</w:t>
            </w:r>
          </w:p>
        </w:tc>
      </w:tr>
    </w:tbl>
    <w:p w:rsidR="004850C2" w:rsidRDefault="004850C2" w:rsidP="004850C2">
      <w:pPr>
        <w:widowControl w:val="0"/>
        <w:jc w:val="both"/>
        <w:rPr>
          <w:rFonts w:ascii="Barlow Medium" w:eastAsia="Arial" w:hAnsi="Barlow Medium" w:cs="Arial"/>
          <w:lang w:eastAsia="en-US"/>
        </w:rPr>
      </w:pPr>
    </w:p>
    <w:p w:rsidR="004850C2" w:rsidRDefault="004850C2" w:rsidP="004850C2">
      <w:pPr>
        <w:widowControl w:val="0"/>
        <w:jc w:val="both"/>
        <w:rPr>
          <w:rFonts w:ascii="Barlow Medium" w:eastAsia="Arial" w:hAnsi="Barlow Medium" w:cs="Arial"/>
          <w:spacing w:val="17"/>
          <w:lang w:eastAsia="en-US"/>
        </w:rPr>
      </w:pPr>
      <w:r>
        <w:rPr>
          <w:rFonts w:ascii="Barlow Medium" w:eastAsia="Arial" w:hAnsi="Barlow Medium" w:cs="Arial"/>
          <w:lang w:eastAsia="en-US"/>
        </w:rPr>
        <w:t>En seguida, se</w:t>
      </w:r>
      <w:r>
        <w:rPr>
          <w:rFonts w:ascii="Barlow Medium" w:eastAsia="Arial" w:hAnsi="Barlow Medium" w:cs="Arial"/>
          <w:spacing w:val="27"/>
          <w:lang w:eastAsia="en-US"/>
        </w:rPr>
        <w:t xml:space="preserve"> </w:t>
      </w:r>
      <w:r>
        <w:rPr>
          <w:rFonts w:ascii="Barlow Medium" w:eastAsia="Arial" w:hAnsi="Barlow Medium" w:cs="Arial"/>
          <w:spacing w:val="1"/>
          <w:lang w:eastAsia="en-US"/>
        </w:rPr>
        <w:t>muestra</w:t>
      </w:r>
      <w:r>
        <w:rPr>
          <w:rFonts w:ascii="Barlow Medium" w:eastAsia="Arial" w:hAnsi="Barlow Medium" w:cs="Arial"/>
          <w:spacing w:val="44"/>
          <w:lang w:eastAsia="en-US"/>
        </w:rPr>
        <w:t xml:space="preserve"> </w:t>
      </w:r>
      <w:r>
        <w:rPr>
          <w:rFonts w:ascii="Barlow Medium" w:eastAsia="Arial" w:hAnsi="Barlow Medium" w:cs="Arial"/>
          <w:lang w:eastAsia="en-US"/>
        </w:rPr>
        <w:t>un</w:t>
      </w:r>
      <w:r>
        <w:rPr>
          <w:rFonts w:ascii="Barlow Medium" w:eastAsia="Arial" w:hAnsi="Barlow Medium" w:cs="Arial"/>
          <w:spacing w:val="28"/>
          <w:lang w:eastAsia="en-US"/>
        </w:rPr>
        <w:t xml:space="preserve"> </w:t>
      </w:r>
      <w:r>
        <w:rPr>
          <w:rFonts w:ascii="Barlow Medium" w:eastAsia="Arial" w:hAnsi="Barlow Medium" w:cs="Arial"/>
          <w:lang w:eastAsia="en-US"/>
        </w:rPr>
        <w:t>re</w:t>
      </w:r>
      <w:r>
        <w:rPr>
          <w:rFonts w:ascii="Barlow Medium" w:eastAsia="Arial" w:hAnsi="Barlow Medium" w:cs="Arial"/>
          <w:spacing w:val="-1"/>
          <w:lang w:eastAsia="en-US"/>
        </w:rPr>
        <w:t>s</w:t>
      </w:r>
      <w:r>
        <w:rPr>
          <w:rFonts w:ascii="Barlow Medium" w:eastAsia="Arial" w:hAnsi="Barlow Medium" w:cs="Arial"/>
          <w:lang w:eastAsia="en-US"/>
        </w:rPr>
        <w:t>umen de</w:t>
      </w:r>
      <w:r>
        <w:rPr>
          <w:rFonts w:ascii="Barlow Medium" w:eastAsia="Arial" w:hAnsi="Barlow Medium" w:cs="Arial"/>
          <w:spacing w:val="28"/>
          <w:lang w:eastAsia="en-US"/>
        </w:rPr>
        <w:t xml:space="preserve"> </w:t>
      </w:r>
      <w:r>
        <w:rPr>
          <w:rFonts w:ascii="Barlow Medium" w:eastAsia="Arial" w:hAnsi="Barlow Medium" w:cs="Arial"/>
          <w:lang w:eastAsia="en-US"/>
        </w:rPr>
        <w:t>los</w:t>
      </w:r>
      <w:r>
        <w:rPr>
          <w:rFonts w:ascii="Barlow Medium" w:eastAsia="Arial" w:hAnsi="Barlow Medium" w:cs="Arial"/>
          <w:spacing w:val="30"/>
          <w:lang w:eastAsia="en-US"/>
        </w:rPr>
        <w:t xml:space="preserve"> </w:t>
      </w:r>
      <w:r>
        <w:rPr>
          <w:rFonts w:ascii="Barlow Medium" w:eastAsia="Arial" w:hAnsi="Barlow Medium" w:cs="Arial"/>
          <w:lang w:eastAsia="en-US"/>
        </w:rPr>
        <w:t xml:space="preserve">programas </w:t>
      </w:r>
      <w:r>
        <w:rPr>
          <w:rFonts w:ascii="Barlow Medium" w:eastAsia="Arial" w:hAnsi="Barlow Medium" w:cs="Arial"/>
          <w:w w:val="103"/>
          <w:lang w:eastAsia="en-US"/>
        </w:rPr>
        <w:t>presupuestar</w:t>
      </w:r>
      <w:r>
        <w:rPr>
          <w:rFonts w:ascii="Barlow Medium" w:eastAsia="Arial" w:hAnsi="Barlow Medium" w:cs="Arial"/>
          <w:spacing w:val="-2"/>
          <w:w w:val="103"/>
          <w:lang w:eastAsia="en-US"/>
        </w:rPr>
        <w:t>i</w:t>
      </w:r>
      <w:r>
        <w:rPr>
          <w:rFonts w:ascii="Barlow Medium" w:eastAsia="Arial" w:hAnsi="Barlow Medium" w:cs="Arial"/>
          <w:spacing w:val="1"/>
          <w:w w:val="103"/>
          <w:lang w:eastAsia="en-US"/>
        </w:rPr>
        <w:t>o</w:t>
      </w:r>
      <w:r>
        <w:rPr>
          <w:rFonts w:ascii="Barlow Medium" w:eastAsia="Arial" w:hAnsi="Barlow Medium" w:cs="Arial"/>
          <w:w w:val="103"/>
          <w:lang w:eastAsia="en-US"/>
        </w:rPr>
        <w:t xml:space="preserve">s (PP) </w:t>
      </w:r>
      <w:r>
        <w:rPr>
          <w:rFonts w:ascii="Barlow Medium" w:eastAsia="Arial" w:hAnsi="Barlow Medium" w:cs="Arial"/>
          <w:lang w:eastAsia="en-US"/>
        </w:rPr>
        <w:t>que t</w:t>
      </w:r>
      <w:r>
        <w:rPr>
          <w:rFonts w:ascii="Barlow Medium" w:eastAsia="Arial" w:hAnsi="Barlow Medium" w:cs="Arial"/>
          <w:spacing w:val="-2"/>
          <w:lang w:eastAsia="en-US"/>
        </w:rPr>
        <w:t>i</w:t>
      </w:r>
      <w:r>
        <w:rPr>
          <w:rFonts w:ascii="Barlow Medium" w:eastAsia="Arial" w:hAnsi="Barlow Medium" w:cs="Arial"/>
          <w:lang w:eastAsia="en-US"/>
        </w:rPr>
        <w:t>enen</w:t>
      </w:r>
      <w:r>
        <w:rPr>
          <w:rFonts w:ascii="Barlow Medium" w:eastAsia="Arial" w:hAnsi="Barlow Medium" w:cs="Arial"/>
          <w:spacing w:val="51"/>
          <w:lang w:eastAsia="en-US"/>
        </w:rPr>
        <w:t xml:space="preserve"> </w:t>
      </w:r>
      <w:r>
        <w:rPr>
          <w:rFonts w:ascii="Barlow Medium" w:eastAsia="Arial" w:hAnsi="Barlow Medium" w:cs="Arial"/>
          <w:lang w:eastAsia="en-US"/>
        </w:rPr>
        <w:t xml:space="preserve">asignado en 2019 presupuesto para acciones destinadas a la </w:t>
      </w:r>
      <w:r>
        <w:rPr>
          <w:rFonts w:ascii="Barlow Medium" w:eastAsia="Arial" w:hAnsi="Barlow Medium" w:cs="Arial"/>
          <w:spacing w:val="-2"/>
          <w:lang w:eastAsia="en-US"/>
        </w:rPr>
        <w:t>j</w:t>
      </w:r>
      <w:r>
        <w:rPr>
          <w:rFonts w:ascii="Barlow Medium" w:eastAsia="Arial" w:hAnsi="Barlow Medium" w:cs="Arial"/>
          <w:spacing w:val="1"/>
          <w:lang w:eastAsia="en-US"/>
        </w:rPr>
        <w:t>uventud</w:t>
      </w:r>
      <w:r>
        <w:rPr>
          <w:rFonts w:ascii="Barlow Medium" w:eastAsia="Arial" w:hAnsi="Barlow Medium" w:cs="Arial"/>
          <w:lang w:eastAsia="en-US"/>
        </w:rPr>
        <w:t>, se incluye</w:t>
      </w:r>
      <w:r>
        <w:rPr>
          <w:rFonts w:ascii="Barlow Medium" w:eastAsia="Arial" w:hAnsi="Barlow Medium" w:cs="Arial"/>
          <w:spacing w:val="3"/>
          <w:lang w:eastAsia="en-US"/>
        </w:rPr>
        <w:t xml:space="preserve"> </w:t>
      </w:r>
      <w:r>
        <w:rPr>
          <w:rFonts w:ascii="Barlow Medium" w:eastAsia="Arial" w:hAnsi="Barlow Medium" w:cs="Arial"/>
          <w:spacing w:val="-2"/>
          <w:w w:val="103"/>
          <w:lang w:eastAsia="en-US"/>
        </w:rPr>
        <w:t>l</w:t>
      </w:r>
      <w:r>
        <w:rPr>
          <w:rFonts w:ascii="Barlow Medium" w:eastAsia="Arial" w:hAnsi="Barlow Medium" w:cs="Arial"/>
          <w:spacing w:val="1"/>
          <w:w w:val="103"/>
          <w:lang w:eastAsia="en-US"/>
        </w:rPr>
        <w:t>o</w:t>
      </w:r>
      <w:r>
        <w:rPr>
          <w:rFonts w:ascii="Barlow Medium" w:eastAsia="Arial" w:hAnsi="Barlow Medium" w:cs="Arial"/>
          <w:w w:val="103"/>
          <w:lang w:eastAsia="en-US"/>
        </w:rPr>
        <w:t xml:space="preserve">s </w:t>
      </w:r>
      <w:r>
        <w:rPr>
          <w:rFonts w:ascii="Barlow Medium" w:eastAsia="Arial" w:hAnsi="Barlow Medium" w:cs="Arial"/>
          <w:lang w:eastAsia="en-US"/>
        </w:rPr>
        <w:t>montos de</w:t>
      </w:r>
      <w:r>
        <w:rPr>
          <w:rFonts w:ascii="Barlow Medium" w:eastAsia="Arial" w:hAnsi="Barlow Medium" w:cs="Arial"/>
          <w:spacing w:val="49"/>
          <w:lang w:eastAsia="en-US"/>
        </w:rPr>
        <w:t xml:space="preserve"> </w:t>
      </w:r>
      <w:r>
        <w:rPr>
          <w:rFonts w:ascii="Barlow Medium" w:eastAsia="Arial" w:hAnsi="Barlow Medium" w:cs="Arial"/>
          <w:spacing w:val="-2"/>
          <w:lang w:eastAsia="en-US"/>
        </w:rPr>
        <w:t>l</w:t>
      </w:r>
      <w:r>
        <w:rPr>
          <w:rFonts w:ascii="Barlow Medium" w:eastAsia="Arial" w:hAnsi="Barlow Medium" w:cs="Arial"/>
          <w:lang w:eastAsia="en-US"/>
        </w:rPr>
        <w:t>a i</w:t>
      </w:r>
      <w:r>
        <w:rPr>
          <w:rFonts w:ascii="Barlow Medium" w:eastAsia="Arial" w:hAnsi="Barlow Medium" w:cs="Arial"/>
          <w:spacing w:val="1"/>
          <w:lang w:eastAsia="en-US"/>
        </w:rPr>
        <w:t>n</w:t>
      </w:r>
      <w:r>
        <w:rPr>
          <w:rFonts w:ascii="Barlow Medium" w:eastAsia="Arial" w:hAnsi="Barlow Medium" w:cs="Arial"/>
          <w:lang w:eastAsia="en-US"/>
        </w:rPr>
        <w:t>vers</w:t>
      </w:r>
      <w:r>
        <w:rPr>
          <w:rFonts w:ascii="Barlow Medium" w:eastAsia="Arial" w:hAnsi="Barlow Medium" w:cs="Arial"/>
          <w:spacing w:val="-2"/>
          <w:lang w:eastAsia="en-US"/>
        </w:rPr>
        <w:t>i</w:t>
      </w:r>
      <w:r>
        <w:rPr>
          <w:rFonts w:ascii="Barlow Medium" w:eastAsia="Arial" w:hAnsi="Barlow Medium" w:cs="Arial"/>
          <w:lang w:eastAsia="en-US"/>
        </w:rPr>
        <w:t>ón por PP</w:t>
      </w:r>
      <w:r>
        <w:rPr>
          <w:rFonts w:ascii="Barlow Medium" w:eastAsia="Arial" w:hAnsi="Barlow Medium" w:cs="Arial"/>
          <w:spacing w:val="9"/>
          <w:lang w:eastAsia="en-US"/>
        </w:rPr>
        <w:t xml:space="preserve"> </w:t>
      </w:r>
      <w:r>
        <w:rPr>
          <w:rFonts w:ascii="Barlow Medium" w:eastAsia="Arial" w:hAnsi="Barlow Medium" w:cs="Arial"/>
          <w:lang w:eastAsia="en-US"/>
        </w:rPr>
        <w:t xml:space="preserve">y la </w:t>
      </w:r>
      <w:r>
        <w:rPr>
          <w:rFonts w:ascii="Barlow Medium" w:eastAsia="Arial" w:hAnsi="Barlow Medium" w:cs="Arial"/>
          <w:spacing w:val="-1"/>
          <w:lang w:eastAsia="en-US"/>
        </w:rPr>
        <w:t>d</w:t>
      </w:r>
      <w:r>
        <w:rPr>
          <w:rFonts w:ascii="Barlow Medium" w:eastAsia="Arial" w:hAnsi="Barlow Medium" w:cs="Arial"/>
          <w:lang w:eastAsia="en-US"/>
        </w:rPr>
        <w:t>epende</w:t>
      </w:r>
      <w:r>
        <w:rPr>
          <w:rFonts w:ascii="Barlow Medium" w:eastAsia="Arial" w:hAnsi="Barlow Medium" w:cs="Arial"/>
          <w:spacing w:val="-1"/>
          <w:lang w:eastAsia="en-US"/>
        </w:rPr>
        <w:t>n</w:t>
      </w:r>
      <w:r>
        <w:rPr>
          <w:rFonts w:ascii="Barlow Medium" w:eastAsia="Arial" w:hAnsi="Barlow Medium" w:cs="Arial"/>
          <w:lang w:eastAsia="en-US"/>
        </w:rPr>
        <w:t>cia o en</w:t>
      </w:r>
      <w:r>
        <w:rPr>
          <w:rFonts w:ascii="Barlow Medium" w:eastAsia="Arial" w:hAnsi="Barlow Medium" w:cs="Arial"/>
          <w:spacing w:val="1"/>
          <w:lang w:eastAsia="en-US"/>
        </w:rPr>
        <w:t>t</w:t>
      </w:r>
      <w:r>
        <w:rPr>
          <w:rFonts w:ascii="Barlow Medium" w:eastAsia="Arial" w:hAnsi="Barlow Medium" w:cs="Arial"/>
          <w:lang w:eastAsia="en-US"/>
        </w:rPr>
        <w:t>idad re</w:t>
      </w:r>
      <w:r>
        <w:rPr>
          <w:rFonts w:ascii="Barlow Medium" w:eastAsia="Arial" w:hAnsi="Barlow Medium" w:cs="Arial"/>
          <w:spacing w:val="-1"/>
          <w:lang w:eastAsia="en-US"/>
        </w:rPr>
        <w:t>s</w:t>
      </w:r>
      <w:r>
        <w:rPr>
          <w:rFonts w:ascii="Barlow Medium" w:eastAsia="Arial" w:hAnsi="Barlow Medium" w:cs="Arial"/>
          <w:lang w:eastAsia="en-US"/>
        </w:rPr>
        <w:t>ponsab</w:t>
      </w:r>
      <w:r>
        <w:rPr>
          <w:rFonts w:ascii="Barlow Medium" w:eastAsia="Arial" w:hAnsi="Barlow Medium" w:cs="Arial"/>
          <w:spacing w:val="-2"/>
          <w:lang w:eastAsia="en-US"/>
        </w:rPr>
        <w:t>l</w:t>
      </w:r>
      <w:r>
        <w:rPr>
          <w:rFonts w:ascii="Barlow Medium" w:eastAsia="Arial" w:hAnsi="Barlow Medium" w:cs="Arial"/>
          <w:lang w:eastAsia="en-US"/>
        </w:rPr>
        <w:t>e</w:t>
      </w:r>
      <w:r>
        <w:rPr>
          <w:rFonts w:ascii="Barlow Medium" w:eastAsia="Arial" w:hAnsi="Barlow Medium" w:cs="Arial"/>
          <w:spacing w:val="18"/>
          <w:lang w:eastAsia="en-US"/>
        </w:rPr>
        <w:t xml:space="preserve"> </w:t>
      </w:r>
      <w:r>
        <w:rPr>
          <w:rFonts w:ascii="Barlow Medium" w:eastAsia="Arial" w:hAnsi="Barlow Medium" w:cs="Arial"/>
          <w:lang w:eastAsia="en-US"/>
        </w:rPr>
        <w:t xml:space="preserve">de </w:t>
      </w:r>
      <w:r>
        <w:rPr>
          <w:rFonts w:ascii="Barlow Medium" w:eastAsia="Arial" w:hAnsi="Barlow Medium" w:cs="Arial"/>
          <w:w w:val="103"/>
          <w:lang w:eastAsia="en-US"/>
        </w:rPr>
        <w:t xml:space="preserve">su </w:t>
      </w:r>
      <w:r>
        <w:rPr>
          <w:rFonts w:ascii="Barlow Medium" w:eastAsia="Arial" w:hAnsi="Barlow Medium" w:cs="Arial"/>
          <w:lang w:eastAsia="en-US"/>
        </w:rPr>
        <w:t>eje</w:t>
      </w:r>
      <w:r>
        <w:rPr>
          <w:rFonts w:ascii="Barlow Medium" w:eastAsia="Arial" w:hAnsi="Barlow Medium" w:cs="Arial"/>
          <w:spacing w:val="-1"/>
          <w:lang w:eastAsia="en-US"/>
        </w:rPr>
        <w:t>c</w:t>
      </w:r>
      <w:r>
        <w:rPr>
          <w:rFonts w:ascii="Barlow Medium" w:eastAsia="Arial" w:hAnsi="Barlow Medium" w:cs="Arial"/>
          <w:spacing w:val="1"/>
          <w:lang w:eastAsia="en-US"/>
        </w:rPr>
        <w:t>uc</w:t>
      </w:r>
      <w:r>
        <w:rPr>
          <w:rFonts w:ascii="Barlow Medium" w:eastAsia="Arial" w:hAnsi="Barlow Medium" w:cs="Arial"/>
          <w:spacing w:val="-1"/>
          <w:lang w:eastAsia="en-US"/>
        </w:rPr>
        <w:t>i</w:t>
      </w:r>
      <w:r>
        <w:rPr>
          <w:rFonts w:ascii="Barlow Medium" w:eastAsia="Arial" w:hAnsi="Barlow Medium" w:cs="Arial"/>
          <w:lang w:eastAsia="en-US"/>
        </w:rPr>
        <w:t xml:space="preserve">ón. Los </w:t>
      </w:r>
      <w:r>
        <w:rPr>
          <w:rFonts w:ascii="Barlow Medium" w:eastAsia="Arial" w:hAnsi="Barlow Medium" w:cs="Arial"/>
          <w:w w:val="103"/>
          <w:lang w:eastAsia="en-US"/>
        </w:rPr>
        <w:t>program</w:t>
      </w:r>
      <w:r>
        <w:rPr>
          <w:rFonts w:ascii="Barlow Medium" w:eastAsia="Arial" w:hAnsi="Barlow Medium" w:cs="Arial"/>
          <w:spacing w:val="1"/>
          <w:w w:val="103"/>
          <w:lang w:eastAsia="en-US"/>
        </w:rPr>
        <w:t>a</w:t>
      </w:r>
      <w:r>
        <w:rPr>
          <w:rFonts w:ascii="Barlow Medium" w:eastAsia="Arial" w:hAnsi="Barlow Medium" w:cs="Arial"/>
          <w:w w:val="103"/>
          <w:lang w:eastAsia="en-US"/>
        </w:rPr>
        <w:t xml:space="preserve">s </w:t>
      </w:r>
      <w:r>
        <w:rPr>
          <w:rFonts w:ascii="Barlow Medium" w:eastAsia="Arial" w:hAnsi="Barlow Medium" w:cs="Arial"/>
          <w:lang w:eastAsia="en-US"/>
        </w:rPr>
        <w:t>pr</w:t>
      </w:r>
      <w:r>
        <w:rPr>
          <w:rFonts w:ascii="Barlow Medium" w:eastAsia="Arial" w:hAnsi="Barlow Medium" w:cs="Arial"/>
          <w:spacing w:val="-1"/>
          <w:lang w:eastAsia="en-US"/>
        </w:rPr>
        <w:t>e</w:t>
      </w:r>
      <w:r>
        <w:rPr>
          <w:rFonts w:ascii="Barlow Medium" w:eastAsia="Arial" w:hAnsi="Barlow Medium" w:cs="Arial"/>
          <w:lang w:eastAsia="en-US"/>
        </w:rPr>
        <w:t>supuestar</w:t>
      </w:r>
      <w:r>
        <w:rPr>
          <w:rFonts w:ascii="Barlow Medium" w:eastAsia="Arial" w:hAnsi="Barlow Medium" w:cs="Arial"/>
          <w:spacing w:val="-2"/>
          <w:lang w:eastAsia="en-US"/>
        </w:rPr>
        <w:t>i</w:t>
      </w:r>
      <w:r>
        <w:rPr>
          <w:rFonts w:ascii="Barlow Medium" w:eastAsia="Arial" w:hAnsi="Barlow Medium" w:cs="Arial"/>
          <w:lang w:eastAsia="en-US"/>
        </w:rPr>
        <w:t>os</w:t>
      </w:r>
      <w:r>
        <w:rPr>
          <w:rFonts w:ascii="Barlow Medium" w:eastAsia="Arial" w:hAnsi="Barlow Medium" w:cs="Arial"/>
          <w:spacing w:val="38"/>
          <w:lang w:eastAsia="en-US"/>
        </w:rPr>
        <w:t xml:space="preserve"> </w:t>
      </w:r>
      <w:r>
        <w:rPr>
          <w:rFonts w:ascii="Barlow Medium" w:eastAsia="Arial" w:hAnsi="Barlow Medium" w:cs="Arial"/>
          <w:lang w:eastAsia="en-US"/>
        </w:rPr>
        <w:t>son la intervención pública objeto de asignación de recursos presupuestales, integrada por dos o más componentes, que tiene como propósito resolver un problema social, satisfacer una necesidad o aprovechar una oportunidad, mediante la adquisición, producción o entrega de dos o más subsidios o ayudas</w:t>
      </w:r>
      <w:r>
        <w:rPr>
          <w:rFonts w:ascii="Barlow Medium" w:eastAsia="Arial" w:hAnsi="Barlow Medium" w:cs="Arial"/>
          <w:spacing w:val="1"/>
          <w:w w:val="103"/>
          <w:vertAlign w:val="superscript"/>
          <w:lang w:eastAsia="en-US"/>
        </w:rPr>
        <w:footnoteReference w:id="11"/>
      </w:r>
      <w:r>
        <w:rPr>
          <w:rFonts w:ascii="Barlow Medium" w:eastAsia="Arial" w:hAnsi="Barlow Medium" w:cs="Arial"/>
          <w:lang w:eastAsia="en-US"/>
        </w:rPr>
        <w:t xml:space="preserve"> </w:t>
      </w:r>
      <w:r>
        <w:rPr>
          <w:rFonts w:ascii="Barlow Medium" w:eastAsia="Arial" w:hAnsi="Barlow Medium" w:cs="Arial"/>
          <w:spacing w:val="2"/>
          <w:lang w:eastAsia="en-US"/>
        </w:rPr>
        <w:t>(</w:t>
      </w:r>
      <w:r>
        <w:rPr>
          <w:rFonts w:ascii="Barlow Medium" w:eastAsia="Arial" w:hAnsi="Barlow Medium" w:cs="Arial"/>
          <w:spacing w:val="-1"/>
          <w:lang w:eastAsia="en-US"/>
        </w:rPr>
        <w:t>v</w:t>
      </w:r>
      <w:r>
        <w:rPr>
          <w:rFonts w:ascii="Barlow Medium" w:eastAsia="Arial" w:hAnsi="Barlow Medium" w:cs="Arial"/>
          <w:lang w:eastAsia="en-US"/>
        </w:rPr>
        <w:t>er</w:t>
      </w:r>
      <w:r>
        <w:rPr>
          <w:rFonts w:ascii="Barlow Medium" w:eastAsia="Arial" w:hAnsi="Barlow Medium" w:cs="Arial"/>
          <w:spacing w:val="12"/>
          <w:lang w:eastAsia="en-US"/>
        </w:rPr>
        <w:t xml:space="preserve"> </w:t>
      </w:r>
      <w:r>
        <w:rPr>
          <w:rFonts w:ascii="Barlow Medium" w:eastAsia="Arial" w:hAnsi="Barlow Medium" w:cs="Arial"/>
          <w:lang w:eastAsia="en-US"/>
        </w:rPr>
        <w:t>tabla 2).</w:t>
      </w:r>
      <w:r>
        <w:rPr>
          <w:rFonts w:ascii="Barlow Medium" w:eastAsia="Arial" w:hAnsi="Barlow Medium" w:cs="Arial"/>
          <w:spacing w:val="17"/>
          <w:lang w:eastAsia="en-US"/>
        </w:rPr>
        <w:t xml:space="preserve"> </w:t>
      </w:r>
    </w:p>
    <w:p w:rsidR="004850C2" w:rsidRDefault="004850C2" w:rsidP="004850C2">
      <w:pPr>
        <w:widowControl w:val="0"/>
        <w:jc w:val="center"/>
        <w:rPr>
          <w:rFonts w:ascii="Barlow Medium" w:eastAsia="Arial" w:hAnsi="Barlow Medium" w:cs="Arial"/>
          <w:b/>
          <w:spacing w:val="5"/>
          <w:lang w:eastAsia="en-US"/>
        </w:rPr>
      </w:pPr>
      <w:r>
        <w:rPr>
          <w:rFonts w:ascii="Barlow Medium" w:eastAsia="Arial" w:hAnsi="Barlow Medium" w:cs="Arial"/>
          <w:b/>
          <w:spacing w:val="5"/>
          <w:lang w:eastAsia="en-US"/>
        </w:rPr>
        <w:t>Tabla 2. Inversión por programa presupuestario 2019</w:t>
      </w:r>
    </w:p>
    <w:tbl>
      <w:tblPr>
        <w:tblW w:w="9180" w:type="dxa"/>
        <w:tblLook w:val="04A0"/>
      </w:tblPr>
      <w:tblGrid>
        <w:gridCol w:w="8312"/>
        <w:gridCol w:w="1575"/>
      </w:tblGrid>
      <w:tr w:rsidR="004850C2" w:rsidTr="004850C2">
        <w:trPr>
          <w:trHeight w:val="615"/>
        </w:trPr>
        <w:tc>
          <w:tcPr>
            <w:tcW w:w="0" w:type="auto"/>
            <w:tcBorders>
              <w:top w:val="single" w:sz="8" w:space="0" w:color="5AA2AE" w:themeColor="accent5"/>
              <w:left w:val="single" w:sz="8" w:space="0" w:color="5AA2AE" w:themeColor="accent5"/>
              <w:bottom w:val="single" w:sz="8" w:space="0" w:color="5AA2AE" w:themeColor="accent5"/>
              <w:right w:val="nil"/>
            </w:tcBorders>
            <w:shd w:val="clear" w:color="auto" w:fill="16365C"/>
            <w:hideMark/>
          </w:tcPr>
          <w:p w:rsidR="004850C2" w:rsidRDefault="004850C2">
            <w:pPr>
              <w:jc w:val="center"/>
              <w:rPr>
                <w:rFonts w:ascii="Barlow Medium" w:eastAsia="Times New Roman" w:hAnsi="Barlow Medium" w:cs="Arial"/>
                <w:sz w:val="20"/>
                <w:szCs w:val="20"/>
                <w:lang w:eastAsia="es-MX"/>
              </w:rPr>
            </w:pPr>
            <w:r>
              <w:rPr>
                <w:rFonts w:ascii="Barlow Medium" w:eastAsia="Times New Roman" w:hAnsi="Barlow Medium" w:cs="Arial"/>
                <w:sz w:val="20"/>
                <w:szCs w:val="20"/>
              </w:rPr>
              <w:t>Dependencia / Entidad</w:t>
            </w:r>
            <w:r>
              <w:rPr>
                <w:rFonts w:ascii="Barlow Medium" w:eastAsia="Times New Roman" w:hAnsi="Barlow Medium" w:cs="Arial"/>
                <w:sz w:val="20"/>
                <w:szCs w:val="20"/>
              </w:rPr>
              <w:br/>
              <w:t>Programa presupuestario</w:t>
            </w:r>
          </w:p>
        </w:tc>
        <w:tc>
          <w:tcPr>
            <w:tcW w:w="1531" w:type="dxa"/>
            <w:tcBorders>
              <w:top w:val="single" w:sz="8" w:space="0" w:color="5AA2AE" w:themeColor="accent5"/>
              <w:left w:val="nil"/>
              <w:bottom w:val="single" w:sz="8" w:space="0" w:color="5AA2AE" w:themeColor="accent5"/>
              <w:right w:val="single" w:sz="8" w:space="0" w:color="5AA2AE" w:themeColor="accent5"/>
            </w:tcBorders>
            <w:shd w:val="clear" w:color="auto" w:fill="16365C"/>
            <w:hideMark/>
          </w:tcPr>
          <w:p w:rsidR="004850C2" w:rsidRDefault="004850C2">
            <w:pPr>
              <w:jc w:val="center"/>
              <w:rPr>
                <w:rFonts w:ascii="Barlow Medium" w:eastAsia="Times New Roman" w:hAnsi="Barlow Medium" w:cs="Arial"/>
                <w:sz w:val="20"/>
                <w:szCs w:val="20"/>
              </w:rPr>
            </w:pPr>
            <w:r>
              <w:rPr>
                <w:rFonts w:ascii="Barlow Medium" w:eastAsia="Times New Roman" w:hAnsi="Barlow Medium" w:cs="Arial"/>
                <w:sz w:val="20"/>
                <w:szCs w:val="20"/>
              </w:rPr>
              <w:t xml:space="preserve"> Inversión (pesos) </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Colegio de Estudios Científicos y Tecnológicos del Estado de Yucatán (CECYTEY)</w:t>
            </w:r>
          </w:p>
        </w:tc>
      </w:tr>
      <w:tr w:rsidR="004850C2" w:rsidTr="004850C2">
        <w:trPr>
          <w:trHeight w:val="298"/>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Fortalecimiento de la Calidad Educativa en Educación Media Superior del CECYTEY</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113,067,277</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Consejería Jurídica (CJ)</w:t>
            </w:r>
          </w:p>
        </w:tc>
      </w:tr>
      <w:tr w:rsidR="004850C2" w:rsidTr="004850C2">
        <w:trPr>
          <w:trHeight w:val="310"/>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Asesoría y Defensa Jurídica del INDEPEY</w:t>
            </w:r>
          </w:p>
        </w:tc>
        <w:tc>
          <w:tcPr>
            <w:tcW w:w="1509" w:type="dxa"/>
            <w:tcBorders>
              <w:top w:val="nil"/>
              <w:left w:val="nil"/>
              <w:bottom w:val="single" w:sz="8" w:space="0" w:color="5AA2AE" w:themeColor="accent5"/>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1,696,078</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Colegio de Bachilleres del Estado de Yucatán (Cobay)</w:t>
            </w:r>
          </w:p>
        </w:tc>
      </w:tr>
      <w:tr w:rsidR="004850C2" w:rsidTr="004850C2">
        <w:trPr>
          <w:trHeight w:val="449"/>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de Alumnos del Nivel Medio Superior del Colegio de Bachilleres del Estado de Yucatán</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33,767,363</w:t>
            </w:r>
          </w:p>
        </w:tc>
      </w:tr>
      <w:tr w:rsidR="004850C2" w:rsidTr="004850C2">
        <w:trPr>
          <w:trHeight w:val="230"/>
        </w:trPr>
        <w:tc>
          <w:tcPr>
            <w:tcW w:w="0" w:type="auto"/>
            <w:tcBorders>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Programa Administrativo del Cobay</w:t>
            </w:r>
          </w:p>
        </w:tc>
        <w:tc>
          <w:tcPr>
            <w:tcW w:w="1531" w:type="dxa"/>
            <w:tcBorders>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380,728,274</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Colegio de Educación Profesional Técnica del Estado de Yucatán (Conalep)</w:t>
            </w:r>
          </w:p>
        </w:tc>
      </w:tr>
      <w:tr w:rsidR="004850C2" w:rsidTr="004850C2">
        <w:trPr>
          <w:trHeight w:val="273"/>
        </w:trPr>
        <w:tc>
          <w:tcPr>
            <w:tcW w:w="0" w:type="auto"/>
            <w:tcBorders>
              <w:top w:val="nil"/>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Cobertura de los Servicios de Educación Profesional Técnica/Conalep</w:t>
            </w:r>
          </w:p>
        </w:tc>
        <w:tc>
          <w:tcPr>
            <w:tcW w:w="1531" w:type="dxa"/>
            <w:tcBorders>
              <w:top w:val="nil"/>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119,842,034</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Sistema para el Desarrollo Integral de la Familia (Dif-Yucatán)</w:t>
            </w:r>
          </w:p>
        </w:tc>
      </w:tr>
      <w:tr w:rsidR="004850C2" w:rsidTr="004850C2">
        <w:trPr>
          <w:trHeight w:val="309"/>
        </w:trPr>
        <w:tc>
          <w:tcPr>
            <w:tcW w:w="0" w:type="auto"/>
            <w:tcBorders>
              <w:top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Integral al Menor en Desamparo</w:t>
            </w:r>
          </w:p>
        </w:tc>
        <w:tc>
          <w:tcPr>
            <w:tcW w:w="1531" w:type="dxa"/>
            <w:tcBorders>
              <w:top w:val="nil"/>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39,740,630</w:t>
            </w:r>
          </w:p>
        </w:tc>
      </w:tr>
      <w:tr w:rsidR="004850C2" w:rsidTr="004850C2">
        <w:trPr>
          <w:trHeight w:val="270"/>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Carencia por Acceso a la Alimentación</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180,827,942</w:t>
            </w:r>
          </w:p>
        </w:tc>
      </w:tr>
      <w:tr w:rsidR="004850C2" w:rsidTr="004850C2">
        <w:trPr>
          <w:trHeight w:val="261"/>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y Atención a Mujeres en situación de violencia</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39,968,589</w:t>
            </w:r>
          </w:p>
        </w:tc>
      </w:tr>
      <w:tr w:rsidR="004850C2" w:rsidTr="004850C2">
        <w:trPr>
          <w:trHeight w:val="264"/>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lastRenderedPageBreak/>
              <w:t>Sujetos en Condición de Vulnerabilidad</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20,054,330</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Escuela Superior de Artes de Yucatán (ESAY)</w:t>
            </w:r>
          </w:p>
        </w:tc>
      </w:tr>
      <w:tr w:rsidR="004850C2" w:rsidTr="004850C2">
        <w:trPr>
          <w:trHeight w:val="30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Formación de Profesionales del Arte</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21,879,140</w:t>
            </w:r>
          </w:p>
        </w:tc>
      </w:tr>
      <w:tr w:rsidR="004850C2" w:rsidTr="004850C2">
        <w:trPr>
          <w:trHeight w:val="265"/>
        </w:trPr>
        <w:tc>
          <w:tcPr>
            <w:tcW w:w="0" w:type="auto"/>
            <w:tcBorders>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Preservación, Fortalecimiento y Difusión del Patrimonio Cultural</w:t>
            </w:r>
          </w:p>
        </w:tc>
        <w:tc>
          <w:tcPr>
            <w:tcW w:w="1531" w:type="dxa"/>
            <w:tcBorders>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155,900</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FFFFFF" w:themeColor="background1"/>
                <w:sz w:val="20"/>
                <w:szCs w:val="20"/>
              </w:rPr>
            </w:pPr>
            <w:r>
              <w:rPr>
                <w:rFonts w:ascii="Barlow Medium" w:eastAsia="Times New Roman" w:hAnsi="Barlow Medium" w:cs="Arial"/>
                <w:color w:val="000000"/>
                <w:sz w:val="20"/>
                <w:szCs w:val="20"/>
              </w:rPr>
              <w:t>Fiscalía General del Estado (FGE)</w:t>
            </w:r>
          </w:p>
        </w:tc>
      </w:tr>
      <w:tr w:rsidR="004850C2" w:rsidTr="004850C2">
        <w:trPr>
          <w:trHeight w:val="306"/>
        </w:trPr>
        <w:tc>
          <w:tcPr>
            <w:tcW w:w="0" w:type="auto"/>
            <w:tcBorders>
              <w:top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Fortalecimiento de la Confianza Ciudadana en la Procuración de Justicia</w:t>
            </w:r>
          </w:p>
        </w:tc>
        <w:tc>
          <w:tcPr>
            <w:tcW w:w="1531" w:type="dxa"/>
            <w:tcBorders>
              <w:top w:val="nil"/>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380,239</w:t>
            </w:r>
          </w:p>
        </w:tc>
      </w:tr>
      <w:tr w:rsidR="004850C2" w:rsidTr="004850C2">
        <w:trPr>
          <w:trHeight w:val="268"/>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Social del Delito</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686,880</w:t>
            </w:r>
          </w:p>
        </w:tc>
      </w:tr>
      <w:tr w:rsidR="004850C2" w:rsidTr="004850C2">
        <w:trPr>
          <w:trHeight w:val="258"/>
        </w:trPr>
        <w:tc>
          <w:tcPr>
            <w:tcW w:w="0" w:type="auto"/>
            <w:tcBorders>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Sistema de Justicia Penal</w:t>
            </w:r>
          </w:p>
        </w:tc>
        <w:tc>
          <w:tcPr>
            <w:tcW w:w="1531" w:type="dxa"/>
            <w:tcBorders>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10,544,156</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de Becas y Crédito Educativo del Estado  de Yucatán  (Ibecey)</w:t>
            </w:r>
          </w:p>
        </w:tc>
      </w:tr>
      <w:tr w:rsidR="004850C2" w:rsidTr="004850C2">
        <w:trPr>
          <w:trHeight w:val="325"/>
        </w:trPr>
        <w:tc>
          <w:tcPr>
            <w:tcW w:w="0" w:type="auto"/>
            <w:tcBorders>
              <w:top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en Educación Básica</w:t>
            </w:r>
          </w:p>
        </w:tc>
        <w:tc>
          <w:tcPr>
            <w:tcW w:w="1531" w:type="dxa"/>
            <w:tcBorders>
              <w:top w:val="nil"/>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57,731,909</w:t>
            </w:r>
          </w:p>
        </w:tc>
      </w:tr>
      <w:tr w:rsidR="004850C2" w:rsidTr="004850C2">
        <w:trPr>
          <w:trHeight w:val="260"/>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en Educación Superior</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156,885,279</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FFFFFF" w:themeColor="background1"/>
                <w:sz w:val="20"/>
                <w:szCs w:val="20"/>
              </w:rPr>
            </w:pPr>
            <w:r>
              <w:rPr>
                <w:rFonts w:ascii="Barlow Medium" w:eastAsia="Times New Roman" w:hAnsi="Barlow Medium" w:cs="Arial"/>
                <w:color w:val="000000"/>
                <w:sz w:val="20"/>
                <w:szCs w:val="20"/>
              </w:rPr>
              <w:t>Instituto de Capacitación para el Trabajo del Estado de Yucatán (Icatey)</w:t>
            </w:r>
          </w:p>
        </w:tc>
      </w:tr>
      <w:tr w:rsidR="004850C2" w:rsidTr="004850C2">
        <w:trPr>
          <w:trHeight w:val="313"/>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Capacitación para el trabajo</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897,346</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del Deporte del Estado de Yucatán (IDEY)</w:t>
            </w:r>
          </w:p>
        </w:tc>
      </w:tr>
      <w:tr w:rsidR="004850C2" w:rsidTr="004850C2">
        <w:trPr>
          <w:trHeight w:val="312"/>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Activación Física</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8,797,357</w:t>
            </w:r>
          </w:p>
        </w:tc>
      </w:tr>
      <w:tr w:rsidR="004850C2" w:rsidTr="004850C2">
        <w:trPr>
          <w:trHeight w:val="260"/>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Alto Rendimiento</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52,616,788</w:t>
            </w:r>
          </w:p>
        </w:tc>
      </w:tr>
      <w:tr w:rsidR="004850C2" w:rsidTr="004850C2">
        <w:trPr>
          <w:trHeight w:val="264"/>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Operación de Unidades Deportivas</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44,582,478</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de Educación para Adultos del Estado de Yucatán (IEAEY)</w:t>
            </w:r>
          </w:p>
        </w:tc>
      </w:tr>
      <w:tr w:rsidR="004850C2" w:rsidTr="004850C2">
        <w:trPr>
          <w:trHeight w:val="317"/>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Rezago Educativo</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42,933,476</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para la Construcción y Conservación de Obra Pública en Yucatán (Inccopy)</w:t>
            </w:r>
          </w:p>
        </w:tc>
      </w:tr>
      <w:tr w:rsidR="004850C2" w:rsidTr="004850C2">
        <w:trPr>
          <w:trHeight w:val="316"/>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Programa de Construcción y Conservación de la Obra Pública</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23,457,399</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para el Desarrollo de la Cultura Maya del Estado de Yucatán (Indemaya)</w:t>
            </w:r>
          </w:p>
        </w:tc>
      </w:tr>
      <w:tr w:rsidR="004850C2" w:rsidTr="004850C2">
        <w:trPr>
          <w:trHeight w:val="313"/>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Población Maya</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41,900</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Tecnológico Superior de Motul (ITSM)</w:t>
            </w:r>
          </w:p>
        </w:tc>
      </w:tr>
      <w:tr w:rsidR="004850C2" w:rsidTr="004850C2">
        <w:trPr>
          <w:trHeight w:val="298"/>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del Instituto Superior de Motul</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32,613,482</w:t>
            </w:r>
          </w:p>
        </w:tc>
      </w:tr>
      <w:tr w:rsidR="004850C2" w:rsidTr="004850C2">
        <w:trPr>
          <w:trHeight w:val="273"/>
        </w:trPr>
        <w:tc>
          <w:tcPr>
            <w:tcW w:w="0" w:type="auto"/>
            <w:tcBorders>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Vinculación del Instituto Tecnológico Superior de Motul</w:t>
            </w:r>
          </w:p>
        </w:tc>
        <w:tc>
          <w:tcPr>
            <w:tcW w:w="1531" w:type="dxa"/>
            <w:tcBorders>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845,170 </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Instituto Tecnológico Superior de Progreso (ITSP)</w:t>
            </w:r>
          </w:p>
        </w:tc>
      </w:tr>
      <w:tr w:rsidR="004850C2" w:rsidTr="004850C2">
        <w:trPr>
          <w:trHeight w:val="314"/>
        </w:trPr>
        <w:tc>
          <w:tcPr>
            <w:tcW w:w="0" w:type="auto"/>
            <w:tcBorders>
              <w:top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Calidad de la Educación Superior</w:t>
            </w:r>
          </w:p>
        </w:tc>
        <w:tc>
          <w:tcPr>
            <w:tcW w:w="1531" w:type="dxa"/>
            <w:tcBorders>
              <w:top w:val="nil"/>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110,400</w:t>
            </w:r>
          </w:p>
        </w:tc>
      </w:tr>
      <w:tr w:rsidR="004850C2" w:rsidTr="004850C2">
        <w:trPr>
          <w:trHeight w:val="600"/>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Fortalecimiento a la Calidad del Servicio Educativo del Instituto Tecnológico Superior Progreso</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39,326,936</w:t>
            </w:r>
          </w:p>
        </w:tc>
      </w:tr>
      <w:tr w:rsidR="004850C2" w:rsidTr="004850C2">
        <w:trPr>
          <w:trHeight w:val="600"/>
        </w:trPr>
        <w:tc>
          <w:tcPr>
            <w:tcW w:w="0" w:type="auto"/>
            <w:tcBorders>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Vinculación con el Sector Público, Social y Productivo del Estado- Instituto Tecnológico Superior Progreso</w:t>
            </w:r>
          </w:p>
        </w:tc>
        <w:tc>
          <w:tcPr>
            <w:tcW w:w="1531" w:type="dxa"/>
            <w:tcBorders>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65,045</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Instituto </w:t>
            </w:r>
            <w:r>
              <w:rPr>
                <w:rFonts w:ascii="Barlow Medium" w:eastAsia="Times New Roman" w:hAnsi="Barlow Medium" w:cs="Arial"/>
                <w:color w:val="000000"/>
                <w:sz w:val="20"/>
                <w:szCs w:val="20"/>
                <w:shd w:val="clear" w:color="auto" w:fill="F2F2F2" w:themeFill="background1" w:themeFillShade="F2"/>
              </w:rPr>
              <w:t>Tecnológico Superior</w:t>
            </w:r>
            <w:r>
              <w:rPr>
                <w:rFonts w:ascii="Barlow Medium" w:eastAsia="Times New Roman" w:hAnsi="Barlow Medium" w:cs="Arial"/>
                <w:color w:val="000000"/>
                <w:sz w:val="20"/>
                <w:szCs w:val="20"/>
              </w:rPr>
              <w:t xml:space="preserve"> del Sur Oxkutzcab (ITSS)</w:t>
            </w:r>
          </w:p>
        </w:tc>
      </w:tr>
      <w:tr w:rsidR="004850C2" w:rsidTr="004850C2">
        <w:trPr>
          <w:trHeight w:val="261"/>
        </w:trPr>
        <w:tc>
          <w:tcPr>
            <w:tcW w:w="0" w:type="auto"/>
            <w:tcBorders>
              <w:top w:val="nil"/>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lastRenderedPageBreak/>
              <w:t>Fortalecimiento de la Calidad Educativa en la Educación Superior-ITSSY</w:t>
            </w:r>
          </w:p>
        </w:tc>
        <w:tc>
          <w:tcPr>
            <w:tcW w:w="1531" w:type="dxa"/>
            <w:tcBorders>
              <w:top w:val="nil"/>
              <w:left w:val="nil"/>
              <w:bottom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36,395,263</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shd w:val="clear" w:color="auto" w:fill="F2F2F2" w:themeFill="background1" w:themeFillShade="F2"/>
              </w:rPr>
              <w:t>Instituto Tecnológico</w:t>
            </w:r>
            <w:r>
              <w:rPr>
                <w:rFonts w:ascii="Barlow Medium" w:eastAsia="Times New Roman" w:hAnsi="Barlow Medium" w:cs="Arial"/>
                <w:color w:val="000000"/>
                <w:sz w:val="20"/>
                <w:szCs w:val="20"/>
              </w:rPr>
              <w:t xml:space="preserve"> Superior de Valladolid (ITSV)</w:t>
            </w:r>
          </w:p>
        </w:tc>
      </w:tr>
      <w:tr w:rsidR="004850C2" w:rsidTr="004850C2">
        <w:trPr>
          <w:trHeight w:val="600"/>
        </w:trPr>
        <w:tc>
          <w:tcPr>
            <w:tcW w:w="0" w:type="auto"/>
            <w:tcBorders>
              <w:top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Administración Eficiente de los Recursos Humanos, Materiales y Financieros del Instituto Tecnológico Superior de Valladolid</w:t>
            </w:r>
          </w:p>
        </w:tc>
        <w:tc>
          <w:tcPr>
            <w:tcW w:w="1531" w:type="dxa"/>
            <w:tcBorders>
              <w:top w:val="nil"/>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4,006,752</w:t>
            </w:r>
          </w:p>
        </w:tc>
      </w:tr>
      <w:tr w:rsidR="004850C2" w:rsidTr="004850C2">
        <w:trPr>
          <w:trHeight w:val="600"/>
        </w:trPr>
        <w:tc>
          <w:tcPr>
            <w:tcW w:w="0" w:type="auto"/>
            <w:tcBorders>
              <w:top w:val="nil"/>
              <w:left w:val="single" w:sz="8" w:space="0" w:color="5AA2AE" w:themeColor="accent5"/>
              <w:bottom w:val="single" w:sz="8" w:space="0" w:color="5AA2AE" w:themeColor="accent5"/>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Formación de Profesionistas Competitivos en Programas Educativos de Calidad ITS Valladolid</w:t>
            </w:r>
          </w:p>
        </w:tc>
        <w:tc>
          <w:tcPr>
            <w:tcW w:w="1531" w:type="dxa"/>
            <w:tcBorders>
              <w:top w:val="nil"/>
              <w:left w:val="nil"/>
              <w:bottom w:val="single" w:sz="8" w:space="0" w:color="5AA2AE" w:themeColor="accent5"/>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37,592,895</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shd w:val="clear" w:color="auto" w:fill="F2F2F2" w:themeFill="background1" w:themeFillShade="F2"/>
              </w:rPr>
              <w:t>Instituto Yucateco</w:t>
            </w:r>
            <w:r>
              <w:rPr>
                <w:rFonts w:ascii="Barlow Medium" w:eastAsia="Times New Roman" w:hAnsi="Barlow Medium" w:cs="Arial"/>
                <w:color w:val="000000"/>
                <w:sz w:val="20"/>
                <w:szCs w:val="20"/>
              </w:rPr>
              <w:t xml:space="preserve"> de Emprendedores (IYEM)</w:t>
            </w:r>
          </w:p>
        </w:tc>
      </w:tr>
      <w:tr w:rsidR="004850C2" w:rsidTr="004850C2">
        <w:trPr>
          <w:trHeight w:val="25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Yucatán Emprende</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28,363,084</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la Cultura y las Artes (Sedeculta)</w:t>
            </w:r>
          </w:p>
        </w:tc>
      </w:tr>
      <w:tr w:rsidR="004850C2" w:rsidTr="004850C2">
        <w:trPr>
          <w:trHeight w:val="308"/>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Fomento y Promoción de la Cultura y las Artes</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1,840,000</w:t>
            </w:r>
          </w:p>
        </w:tc>
      </w:tr>
      <w:tr w:rsidR="004850C2" w:rsidTr="004850C2">
        <w:trPr>
          <w:trHeight w:val="256"/>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Fomento y Promoción del Hábito a la Lectura y la Producción Literaria y Editorial</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960,000</w:t>
            </w:r>
          </w:p>
        </w:tc>
      </w:tr>
      <w:tr w:rsidR="004850C2" w:rsidTr="004850C2">
        <w:trPr>
          <w:trHeight w:val="27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Preservación, Fortalecimiento y Difusión del Patrimonio Cultural</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1,870,000</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Desarrollo Rural (Seder)</w:t>
            </w:r>
          </w:p>
        </w:tc>
      </w:tr>
      <w:tr w:rsidR="004850C2" w:rsidTr="004850C2">
        <w:trPr>
          <w:trHeight w:val="31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Desarrollo Artesanal</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1,100,000</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Desarrollo Social (Sedesol)</w:t>
            </w:r>
          </w:p>
        </w:tc>
      </w:tr>
      <w:tr w:rsidR="004850C2" w:rsidTr="004850C2">
        <w:trPr>
          <w:trHeight w:val="312"/>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Carencia por Acceso a la Alimentación</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7,783,981</w:t>
            </w:r>
          </w:p>
        </w:tc>
      </w:tr>
      <w:tr w:rsidR="004850C2" w:rsidTr="004850C2">
        <w:trPr>
          <w:trHeight w:val="261"/>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Cohesión Social</w:t>
            </w:r>
          </w:p>
        </w:tc>
        <w:tc>
          <w:tcPr>
            <w:tcW w:w="1553" w:type="dxa"/>
            <w:tcBorders>
              <w:left w:val="nil"/>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5,838,530</w:t>
            </w:r>
          </w:p>
        </w:tc>
      </w:tr>
      <w:tr w:rsidR="004850C2" w:rsidTr="004850C2">
        <w:trPr>
          <w:trHeight w:val="26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Comunicación Social e Información</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3,138,986</w:t>
            </w:r>
          </w:p>
        </w:tc>
      </w:tr>
      <w:tr w:rsidR="004850C2" w:rsidTr="004850C2">
        <w:trPr>
          <w:trHeight w:val="254"/>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en Educación Superior</w:t>
            </w:r>
          </w:p>
        </w:tc>
        <w:tc>
          <w:tcPr>
            <w:tcW w:w="1553" w:type="dxa"/>
            <w:tcBorders>
              <w:left w:val="nil"/>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178,836</w:t>
            </w:r>
          </w:p>
        </w:tc>
      </w:tr>
      <w:tr w:rsidR="004850C2" w:rsidTr="004850C2">
        <w:trPr>
          <w:trHeight w:val="272"/>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Fomento y Promoción de la Cultura y las Artes</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1,190,288</w:t>
            </w:r>
          </w:p>
        </w:tc>
      </w:tr>
      <w:tr w:rsidR="004850C2" w:rsidTr="004850C2">
        <w:trPr>
          <w:trHeight w:val="263"/>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Sujetos en Condición de Vulnerabilidad</w:t>
            </w:r>
          </w:p>
        </w:tc>
        <w:tc>
          <w:tcPr>
            <w:tcW w:w="1553" w:type="dxa"/>
            <w:tcBorders>
              <w:left w:val="nil"/>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1,336,000</w:t>
            </w:r>
          </w:p>
        </w:tc>
      </w:tr>
      <w:tr w:rsidR="004850C2" w:rsidTr="004850C2">
        <w:trPr>
          <w:trHeight w:val="252"/>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Yucatán Emprende</w:t>
            </w:r>
            <w:r>
              <w:rPr>
                <w:rFonts w:ascii="Barlow Medium" w:hAnsi="Barlow Medium"/>
                <w:b/>
                <w:sz w:val="20"/>
                <w:szCs w:val="20"/>
              </w:rPr>
              <w:t xml:space="preserve"> </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7,994,714</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Fomento Económico y Trabajo (Sefoet)</w:t>
            </w:r>
          </w:p>
        </w:tc>
      </w:tr>
      <w:tr w:rsidR="004850C2" w:rsidTr="004850C2">
        <w:trPr>
          <w:trHeight w:val="320"/>
        </w:trPr>
        <w:tc>
          <w:tcPr>
            <w:tcW w:w="0" w:type="auto"/>
            <w:tcBorders>
              <w:top w:val="nil"/>
              <w:left w:val="single" w:sz="8" w:space="0" w:color="5AA2AE" w:themeColor="accent5"/>
              <w:bottom w:val="nil"/>
              <w:right w:val="nil"/>
            </w:tcBorders>
            <w:vAlign w:val="center"/>
            <w:hideMark/>
          </w:tcPr>
          <w:p w:rsidR="004850C2" w:rsidRDefault="004850C2">
            <w:pPr>
              <w:rPr>
                <w:rFonts w:ascii="Barlow Medium" w:hAnsi="Barlow Medium"/>
                <w:b/>
                <w:color w:val="000000"/>
                <w:sz w:val="20"/>
                <w:szCs w:val="20"/>
              </w:rPr>
            </w:pPr>
            <w:r>
              <w:rPr>
                <w:rFonts w:ascii="Barlow Medium" w:eastAsia="Times New Roman" w:hAnsi="Barlow Medium" w:cs="Arial"/>
                <w:b/>
                <w:color w:val="000000"/>
                <w:sz w:val="20"/>
                <w:szCs w:val="20"/>
              </w:rPr>
              <w:t>Fomento al Empleo</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lang w:eastAsia="es-MX"/>
              </w:rPr>
            </w:pPr>
            <w:r>
              <w:rPr>
                <w:rFonts w:ascii="Barlow Medium" w:eastAsia="Times New Roman" w:hAnsi="Barlow Medium" w:cs="Arial"/>
                <w:color w:val="000000"/>
                <w:sz w:val="20"/>
                <w:szCs w:val="20"/>
              </w:rPr>
              <w:t>13,169,874</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Desarrollo Sustentable (Sedesu)</w:t>
            </w:r>
          </w:p>
        </w:tc>
      </w:tr>
      <w:tr w:rsidR="004850C2" w:rsidTr="004850C2">
        <w:trPr>
          <w:trHeight w:val="304"/>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Calidad de la Educación Superior</w:t>
            </w:r>
          </w:p>
        </w:tc>
        <w:tc>
          <w:tcPr>
            <w:tcW w:w="1553" w:type="dxa"/>
            <w:tcBorders>
              <w:top w:val="nil"/>
              <w:left w:val="nil"/>
              <w:bottom w:val="nil"/>
              <w:right w:val="single" w:sz="8" w:space="0" w:color="5AA2AE" w:themeColor="accent5"/>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7,000</w:t>
            </w:r>
          </w:p>
        </w:tc>
      </w:tr>
      <w:tr w:rsidR="004850C2" w:rsidTr="004850C2">
        <w:trPr>
          <w:trHeight w:val="279"/>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Conservación de los Recursos Naturales</w:t>
            </w:r>
          </w:p>
        </w:tc>
        <w:tc>
          <w:tcPr>
            <w:tcW w:w="1553" w:type="dxa"/>
            <w:tcBorders>
              <w:left w:val="nil"/>
            </w:tcBorders>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11,550</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Educación (Segey)</w:t>
            </w:r>
          </w:p>
        </w:tc>
      </w:tr>
      <w:tr w:rsidR="004850C2" w:rsidTr="004850C2">
        <w:trPr>
          <w:trHeight w:val="306"/>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Activación Física</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4,000,000 </w:t>
            </w:r>
          </w:p>
        </w:tc>
      </w:tr>
      <w:tr w:rsidR="004850C2" w:rsidTr="004850C2">
        <w:trPr>
          <w:trHeight w:val="409"/>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de Alumnos del Nivel Medio Superior del Colegio de Bachilleres del Estado de Yucatán</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7,204,741 </w:t>
            </w:r>
          </w:p>
        </w:tc>
      </w:tr>
      <w:tr w:rsidR="004850C2" w:rsidTr="004850C2">
        <w:trPr>
          <w:trHeight w:val="332"/>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Cobertura con Equidad en Educación Básica</w:t>
            </w:r>
          </w:p>
        </w:tc>
        <w:tc>
          <w:tcPr>
            <w:tcW w:w="1531" w:type="dxa"/>
            <w:tcBorders>
              <w:left w:val="nil"/>
            </w:tcBorders>
            <w:noWrap/>
            <w:vAlign w:val="center"/>
            <w:hideMark/>
          </w:tcPr>
          <w:p w:rsidR="004850C2" w:rsidRDefault="004850C2">
            <w:pPr>
              <w:ind w:left="-136"/>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3,264,271,544</w:t>
            </w:r>
          </w:p>
        </w:tc>
      </w:tr>
      <w:tr w:rsidR="004850C2" w:rsidTr="004850C2">
        <w:trPr>
          <w:trHeight w:val="273"/>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Cobertura en Educación Media Superior</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269,865,947</w:t>
            </w:r>
          </w:p>
        </w:tc>
      </w:tr>
      <w:tr w:rsidR="004850C2" w:rsidTr="004850C2">
        <w:trPr>
          <w:trHeight w:val="273"/>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Cobertura en Educación Superior</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225,914,098</w:t>
            </w:r>
          </w:p>
        </w:tc>
      </w:tr>
      <w:tr w:rsidR="004850C2" w:rsidTr="004850C2">
        <w:trPr>
          <w:trHeight w:val="250"/>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Fomento y Promoción del Hábito a la Lectura y la Producción Literaria y Editorial</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1,000,000</w:t>
            </w:r>
          </w:p>
        </w:tc>
      </w:tr>
      <w:tr w:rsidR="004850C2" w:rsidTr="004850C2">
        <w:trPr>
          <w:trHeight w:val="267"/>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Fortalecimiento de la Calidad Educativa en Educación Media Superior del CECYTEY</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6,377,969</w:t>
            </w:r>
          </w:p>
        </w:tc>
      </w:tr>
      <w:tr w:rsidR="004850C2" w:rsidTr="004850C2">
        <w:trPr>
          <w:trHeight w:val="270"/>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Gestión Escolar</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111,742,307</w:t>
            </w:r>
          </w:p>
        </w:tc>
      </w:tr>
      <w:tr w:rsidR="004850C2" w:rsidTr="004850C2">
        <w:trPr>
          <w:trHeight w:val="261"/>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lastRenderedPageBreak/>
              <w:t>Gestión Institucional</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26,793,406</w:t>
            </w:r>
          </w:p>
        </w:tc>
      </w:tr>
      <w:tr w:rsidR="004850C2" w:rsidTr="004850C2">
        <w:trPr>
          <w:trHeight w:val="264"/>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Gestión Pedagógica</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14,570,689</w:t>
            </w:r>
          </w:p>
        </w:tc>
      </w:tr>
      <w:tr w:rsidR="004850C2" w:rsidTr="004850C2">
        <w:trPr>
          <w:trHeight w:val="268"/>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Línea Mínima de Bienestar</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1,000,000</w:t>
            </w:r>
          </w:p>
        </w:tc>
      </w:tr>
      <w:tr w:rsidR="004850C2" w:rsidTr="004850C2">
        <w:trPr>
          <w:trHeight w:val="259"/>
        </w:trPr>
        <w:tc>
          <w:tcPr>
            <w:tcW w:w="0" w:type="auto"/>
            <w:tcBorders>
              <w:top w:val="nil"/>
              <w:left w:val="single" w:sz="8" w:space="0" w:color="5AA2AE" w:themeColor="accent5"/>
              <w:bottom w:val="nil"/>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Social del Delito</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4,263,938</w:t>
            </w:r>
          </w:p>
        </w:tc>
      </w:tr>
      <w:tr w:rsidR="004850C2" w:rsidTr="004850C2">
        <w:trPr>
          <w:trHeight w:val="262"/>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Rezago Educativo</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1,046,168</w:t>
            </w:r>
          </w:p>
        </w:tc>
      </w:tr>
      <w:tr w:rsidR="004850C2" w:rsidTr="004850C2">
        <w:trPr>
          <w:trHeight w:val="536"/>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noWrap/>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las Mujeres (Semujeres)</w:t>
            </w:r>
          </w:p>
        </w:tc>
      </w:tr>
      <w:tr w:rsidR="004850C2" w:rsidTr="004850C2">
        <w:trPr>
          <w:trHeight w:val="256"/>
        </w:trPr>
        <w:tc>
          <w:tcPr>
            <w:tcW w:w="0" w:type="auto"/>
            <w:tcBorders>
              <w:right w:val="nil"/>
            </w:tcBorders>
            <w:noWrap/>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y Atención a Mujeres en situación de violencia</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5,823,618</w:t>
            </w:r>
          </w:p>
        </w:tc>
      </w:tr>
      <w:tr w:rsidR="004850C2" w:rsidTr="004850C2">
        <w:trPr>
          <w:trHeight w:val="499"/>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General de Gobierno (SGG)</w:t>
            </w:r>
          </w:p>
        </w:tc>
      </w:tr>
      <w:tr w:rsidR="004850C2" w:rsidTr="004850C2">
        <w:trPr>
          <w:trHeight w:val="298"/>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Programa Integral de Aplicación de Medidas de Tratamiento para los Adolescentes</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25,402,544</w:t>
            </w:r>
          </w:p>
        </w:tc>
      </w:tr>
      <w:tr w:rsidR="004850C2" w:rsidTr="004850C2">
        <w:trPr>
          <w:trHeight w:val="258"/>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Programa Integral Protégete</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44,516,907</w:t>
            </w:r>
          </w:p>
        </w:tc>
      </w:tr>
      <w:tr w:rsidR="004850C2" w:rsidTr="004850C2">
        <w:trPr>
          <w:trHeight w:val="499"/>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Secretaría de Investigación, Innovación y Educación Superior (SIIES)</w:t>
            </w:r>
          </w:p>
        </w:tc>
      </w:tr>
      <w:tr w:rsidR="004850C2" w:rsidTr="004850C2">
        <w:trPr>
          <w:trHeight w:val="298"/>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Calidad de la Educación Superior</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21,866,341</w:t>
            </w:r>
          </w:p>
        </w:tc>
      </w:tr>
      <w:tr w:rsidR="004850C2" w:rsidTr="004850C2">
        <w:trPr>
          <w:trHeight w:val="246"/>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Ciencia, Tecnología e Innovación</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11,808,305</w:t>
            </w:r>
          </w:p>
        </w:tc>
      </w:tr>
      <w:tr w:rsidR="004850C2" w:rsidTr="004850C2">
        <w:trPr>
          <w:trHeight w:val="250"/>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Cobertura en Educación Superior</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20,954,679</w:t>
            </w:r>
          </w:p>
        </w:tc>
      </w:tr>
      <w:tr w:rsidR="004850C2" w:rsidTr="004850C2">
        <w:trPr>
          <w:trHeight w:val="260"/>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Formación de Capital Humano para la Economía del Conocimiento</w:t>
            </w:r>
          </w:p>
        </w:tc>
        <w:tc>
          <w:tcPr>
            <w:tcW w:w="1531" w:type="dxa"/>
            <w:tcBorders>
              <w:left w:val="nil"/>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20,302,961</w:t>
            </w:r>
          </w:p>
        </w:tc>
      </w:tr>
      <w:tr w:rsidR="004850C2" w:rsidTr="004850C2">
        <w:trPr>
          <w:trHeight w:val="266"/>
        </w:trPr>
        <w:tc>
          <w:tcPr>
            <w:tcW w:w="0" w:type="auto"/>
            <w:tcBorders>
              <w:top w:val="nil"/>
              <w:left w:val="single" w:sz="8" w:space="0" w:color="5AA2AE" w:themeColor="accent5"/>
              <w:bottom w:val="nil"/>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Preservación, Fortalecimiento y Difusión del Patrimonio Cultural</w:t>
            </w:r>
          </w:p>
        </w:tc>
        <w:tc>
          <w:tcPr>
            <w:tcW w:w="1531" w:type="dxa"/>
            <w:tcBorders>
              <w:top w:val="nil"/>
              <w:left w:val="nil"/>
              <w:bottom w:val="nil"/>
              <w:right w:val="single" w:sz="8" w:space="0" w:color="5AA2AE" w:themeColor="accent5"/>
            </w:tcBorders>
            <w:noWrap/>
            <w:vAlign w:val="center"/>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2,545,347</w:t>
            </w:r>
          </w:p>
        </w:tc>
      </w:tr>
      <w:tr w:rsidR="004850C2" w:rsidTr="004850C2">
        <w:trPr>
          <w:trHeight w:val="463"/>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Servicios de Salud de Yucatán (SSY)</w:t>
            </w:r>
          </w:p>
        </w:tc>
      </w:tr>
      <w:tr w:rsidR="004850C2" w:rsidTr="004850C2">
        <w:trPr>
          <w:trHeight w:val="273"/>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Médica</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32,934</w:t>
            </w:r>
          </w:p>
        </w:tc>
      </w:tr>
      <w:tr w:rsidR="004850C2" w:rsidTr="004850C2">
        <w:trPr>
          <w:trHeight w:val="273"/>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Enfermedades Crónico degenerativas</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5,060,555</w:t>
            </w:r>
          </w:p>
        </w:tc>
      </w:tr>
      <w:tr w:rsidR="004850C2" w:rsidTr="004850C2">
        <w:trPr>
          <w:trHeight w:val="273"/>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Obesidad</w:t>
            </w:r>
          </w:p>
        </w:tc>
        <w:tc>
          <w:tcPr>
            <w:tcW w:w="1531"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5,817,489</w:t>
            </w:r>
          </w:p>
        </w:tc>
      </w:tr>
      <w:tr w:rsidR="004850C2" w:rsidTr="004850C2">
        <w:trPr>
          <w:trHeight w:val="250"/>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y Atención a Mujeres en situación de violencia</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227,012</w:t>
            </w:r>
          </w:p>
        </w:tc>
      </w:tr>
      <w:tr w:rsidR="004850C2" w:rsidTr="004850C2">
        <w:trPr>
          <w:trHeight w:val="267"/>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y Atención de Accidentes</w:t>
            </w:r>
          </w:p>
        </w:tc>
        <w:tc>
          <w:tcPr>
            <w:tcW w:w="1531"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1,274,979</w:t>
            </w:r>
          </w:p>
        </w:tc>
      </w:tr>
      <w:tr w:rsidR="004850C2" w:rsidTr="004850C2">
        <w:trPr>
          <w:trHeight w:val="270"/>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Prevención y Control de VIH, SIDA e Infecciones de Transmisión Sexual</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3,509,346</w:t>
            </w:r>
          </w:p>
        </w:tc>
      </w:tr>
      <w:tr w:rsidR="004850C2" w:rsidTr="004850C2">
        <w:trPr>
          <w:trHeight w:val="261"/>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Protección contra Riesgos Sanitarios</w:t>
            </w:r>
          </w:p>
        </w:tc>
        <w:tc>
          <w:tcPr>
            <w:tcW w:w="1531"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1,425,480</w:t>
            </w:r>
          </w:p>
        </w:tc>
      </w:tr>
      <w:tr w:rsidR="004850C2" w:rsidTr="004850C2">
        <w:trPr>
          <w:trHeight w:val="265"/>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Salud de la Mujer</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657,931</w:t>
            </w:r>
          </w:p>
        </w:tc>
      </w:tr>
      <w:tr w:rsidR="004850C2" w:rsidTr="004850C2">
        <w:trPr>
          <w:trHeight w:val="268"/>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Salud Infantil</w:t>
            </w:r>
          </w:p>
        </w:tc>
        <w:tc>
          <w:tcPr>
            <w:tcW w:w="1531"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7,144,216</w:t>
            </w:r>
          </w:p>
        </w:tc>
      </w:tr>
      <w:tr w:rsidR="004850C2" w:rsidTr="004850C2">
        <w:trPr>
          <w:trHeight w:val="258"/>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Salud Mental</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14,743,671</w:t>
            </w:r>
          </w:p>
        </w:tc>
      </w:tr>
      <w:tr w:rsidR="004850C2" w:rsidTr="004850C2">
        <w:trPr>
          <w:trHeight w:val="262"/>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Salud Reproductiva</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846,580</w:t>
            </w:r>
          </w:p>
        </w:tc>
      </w:tr>
      <w:tr w:rsidR="004850C2" w:rsidTr="004850C2">
        <w:trPr>
          <w:trHeight w:val="252"/>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Sangre Segura</w:t>
            </w:r>
          </w:p>
        </w:tc>
        <w:tc>
          <w:tcPr>
            <w:tcW w:w="1531" w:type="dxa"/>
            <w:tcBorders>
              <w:left w:val="nil"/>
            </w:tcBorders>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2,645,092</w:t>
            </w:r>
          </w:p>
        </w:tc>
      </w:tr>
      <w:tr w:rsidR="004850C2" w:rsidTr="004850C2">
        <w:trPr>
          <w:trHeight w:val="270"/>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Servicios de Salud a la Comunidad</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2,407,042</w:t>
            </w:r>
          </w:p>
        </w:tc>
      </w:tr>
      <w:tr w:rsidR="004850C2" w:rsidTr="004850C2">
        <w:trPr>
          <w:trHeight w:val="396"/>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de Oriente (UNO)</w:t>
            </w:r>
          </w:p>
        </w:tc>
      </w:tr>
      <w:tr w:rsidR="004850C2" w:rsidTr="004850C2">
        <w:trPr>
          <w:trHeight w:val="228"/>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de la Universidad de Oriente</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69,370,040</w:t>
            </w:r>
          </w:p>
        </w:tc>
      </w:tr>
      <w:tr w:rsidR="004850C2" w:rsidTr="004850C2">
        <w:trPr>
          <w:trHeight w:val="434"/>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Politécnica de Yucatán (UPY)</w:t>
            </w:r>
          </w:p>
        </w:tc>
      </w:tr>
      <w:tr w:rsidR="004850C2" w:rsidTr="004850C2">
        <w:trPr>
          <w:trHeight w:val="499"/>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Formación Especializada del Talento Humano de la Universidad Politécnica de Yucatán</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16,263, 309</w:t>
            </w:r>
          </w:p>
        </w:tc>
      </w:tr>
      <w:tr w:rsidR="004850C2" w:rsidTr="004850C2">
        <w:trPr>
          <w:trHeight w:val="274"/>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Gastos administrativos de la Universidad Politécnica de Yucatán</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12,259,378</w:t>
            </w:r>
          </w:p>
        </w:tc>
      </w:tr>
      <w:tr w:rsidR="004850C2" w:rsidTr="004850C2">
        <w:trPr>
          <w:trHeight w:val="415"/>
        </w:trPr>
        <w:tc>
          <w:tcPr>
            <w:tcW w:w="9180" w:type="dxa"/>
            <w:gridSpan w:val="2"/>
            <w:tcBorders>
              <w:top w:val="single" w:sz="8" w:space="0" w:color="5AA2AE" w:themeColor="accent5"/>
              <w:left w:val="single" w:sz="8" w:space="0" w:color="5AA2AE" w:themeColor="accent5"/>
              <w:bottom w:val="single" w:sz="8" w:space="0" w:color="5AA2AE" w:themeColor="accent5"/>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Tecnológica del Centro (UTC)</w:t>
            </w:r>
          </w:p>
        </w:tc>
      </w:tr>
      <w:tr w:rsidR="004850C2" w:rsidTr="004850C2">
        <w:trPr>
          <w:trHeight w:val="202"/>
        </w:trPr>
        <w:tc>
          <w:tcPr>
            <w:tcW w:w="0" w:type="auto"/>
            <w:tcBorders>
              <w:right w:val="nil"/>
            </w:tcBorders>
            <w:vAlign w:val="center"/>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de Alumnos de la Universidad Tecnológica del Centro - Izamal</w:t>
            </w:r>
          </w:p>
        </w:tc>
        <w:tc>
          <w:tcPr>
            <w:tcW w:w="1531" w:type="dxa"/>
            <w:tcBorders>
              <w:left w:val="nil"/>
            </w:tcBorders>
            <w:hideMark/>
          </w:tcPr>
          <w:p w:rsidR="004850C2" w:rsidRDefault="004850C2">
            <w:pPr>
              <w:jc w:val="right"/>
              <w:rPr>
                <w:rFonts w:ascii="Barlow Medium" w:hAnsi="Barlow Medium"/>
                <w:sz w:val="20"/>
                <w:szCs w:val="20"/>
              </w:rPr>
            </w:pPr>
            <w:r>
              <w:rPr>
                <w:rFonts w:ascii="Barlow Medium" w:eastAsia="Times New Roman" w:hAnsi="Barlow Medium" w:cs="Arial"/>
                <w:color w:val="000000"/>
                <w:sz w:val="20"/>
                <w:szCs w:val="20"/>
              </w:rPr>
              <w:t>19,212,720</w:t>
            </w:r>
          </w:p>
        </w:tc>
      </w:tr>
      <w:tr w:rsidR="004850C2" w:rsidTr="004850C2">
        <w:trPr>
          <w:trHeight w:val="234"/>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lang w:eastAsia="es-MX"/>
              </w:rPr>
            </w:pPr>
            <w:r>
              <w:rPr>
                <w:rFonts w:ascii="Barlow Medium" w:eastAsia="Times New Roman" w:hAnsi="Barlow Medium" w:cs="Arial"/>
                <w:b/>
                <w:color w:val="000000"/>
                <w:sz w:val="20"/>
                <w:szCs w:val="20"/>
              </w:rPr>
              <w:t>Vinculación de la Universidad Tecnológica del Centro</w:t>
            </w:r>
          </w:p>
        </w:tc>
        <w:tc>
          <w:tcPr>
            <w:tcW w:w="1531" w:type="dxa"/>
            <w:tcBorders>
              <w:top w:val="single" w:sz="8" w:space="0" w:color="5AA2AE" w:themeColor="accent5"/>
              <w:left w:val="nil"/>
              <w:bottom w:val="single" w:sz="8" w:space="0" w:color="5AA2AE" w:themeColor="accent5"/>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754,214</w:t>
            </w:r>
          </w:p>
        </w:tc>
      </w:tr>
      <w:tr w:rsidR="004850C2" w:rsidTr="004850C2">
        <w:trPr>
          <w:trHeight w:val="443"/>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Tecnológica Metropolitana (UTM)</w:t>
            </w:r>
          </w:p>
        </w:tc>
      </w:tr>
      <w:tr w:rsidR="004850C2" w:rsidTr="004850C2">
        <w:trPr>
          <w:trHeight w:val="204"/>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lastRenderedPageBreak/>
              <w:t>Ciencia, Tecnología e Innovación de la Universidad Tecnológica Metropolitana</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6,741,151</w:t>
            </w:r>
          </w:p>
        </w:tc>
      </w:tr>
      <w:tr w:rsidR="004850C2" w:rsidTr="004850C2">
        <w:trPr>
          <w:trHeight w:val="236"/>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de la Universidad Tecnológica Metropolitana</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166,337,581</w:t>
            </w:r>
          </w:p>
        </w:tc>
      </w:tr>
      <w:tr w:rsidR="004850C2" w:rsidTr="004850C2">
        <w:trPr>
          <w:trHeight w:val="441"/>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Tecnológica del Mayab (UT del Mayab)</w:t>
            </w:r>
          </w:p>
        </w:tc>
      </w:tr>
      <w:tr w:rsidR="004850C2" w:rsidTr="004850C2">
        <w:trPr>
          <w:trHeight w:val="192"/>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Mejoramiento de la Eficiencia Terminal de la Universidad Tecnológica del Mayab</w:t>
            </w:r>
          </w:p>
        </w:tc>
        <w:tc>
          <w:tcPr>
            <w:tcW w:w="1531" w:type="dxa"/>
            <w:tcBorders>
              <w:left w:val="nil"/>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30,900,036</w:t>
            </w:r>
          </w:p>
        </w:tc>
      </w:tr>
      <w:tr w:rsidR="004850C2" w:rsidTr="004850C2">
        <w:trPr>
          <w:trHeight w:val="508"/>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Vinculación con el Sector Productivo y la Sociedad de la Universidad Tecnológica del Mayab</w:t>
            </w:r>
          </w:p>
        </w:tc>
        <w:tc>
          <w:tcPr>
            <w:tcW w:w="1531"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85,617</w:t>
            </w:r>
          </w:p>
        </w:tc>
      </w:tr>
      <w:tr w:rsidR="004850C2" w:rsidTr="004850C2">
        <w:trPr>
          <w:trHeight w:val="474"/>
        </w:trPr>
        <w:tc>
          <w:tcPr>
            <w:tcW w:w="9180" w:type="dxa"/>
            <w:gridSpan w:val="2"/>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Tecnológica del Poniente (UTP)</w:t>
            </w:r>
          </w:p>
        </w:tc>
      </w:tr>
      <w:tr w:rsidR="004850C2" w:rsidTr="004850C2">
        <w:trPr>
          <w:trHeight w:val="198"/>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Atención a los Estudiantes de la Universidad Tecnológica del Poniente</w:t>
            </w:r>
          </w:p>
        </w:tc>
        <w:tc>
          <w:tcPr>
            <w:tcW w:w="1531" w:type="dxa"/>
            <w:tcBorders>
              <w:top w:val="nil"/>
              <w:left w:val="nil"/>
              <w:bottom w:val="nil"/>
              <w:right w:val="single" w:sz="8" w:space="0" w:color="5AA2AE" w:themeColor="accent5"/>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37,793,074</w:t>
            </w:r>
          </w:p>
        </w:tc>
      </w:tr>
      <w:tr w:rsidR="004850C2" w:rsidTr="004850C2">
        <w:trPr>
          <w:trHeight w:val="231"/>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Fortalecimiento de la Vinculación en la Universidad Tecnológica del Poniente</w:t>
            </w:r>
          </w:p>
        </w:tc>
        <w:tc>
          <w:tcPr>
            <w:tcW w:w="1531" w:type="dxa"/>
            <w:tcBorders>
              <w:left w:val="nil"/>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2,278, 958</w:t>
            </w:r>
          </w:p>
        </w:tc>
      </w:tr>
      <w:tr w:rsidR="004850C2" w:rsidTr="004850C2">
        <w:trPr>
          <w:trHeight w:val="445"/>
        </w:trPr>
        <w:tc>
          <w:tcPr>
            <w:tcW w:w="9180" w:type="dxa"/>
            <w:gridSpan w:val="2"/>
            <w:tcBorders>
              <w:top w:val="nil"/>
              <w:left w:val="single" w:sz="8" w:space="0" w:color="5AA2AE" w:themeColor="accent5"/>
              <w:bottom w:val="nil"/>
              <w:right w:val="single" w:sz="8" w:space="0" w:color="5AA2AE" w:themeColor="accent5"/>
            </w:tcBorders>
            <w:shd w:val="clear" w:color="auto" w:fill="F2F2F2" w:themeFill="background1" w:themeFillShade="F2"/>
            <w:vAlign w:val="center"/>
            <w:hideMark/>
          </w:tcPr>
          <w:p w:rsidR="004850C2" w:rsidRDefault="004850C2">
            <w:pPr>
              <w:jc w:val="cente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Universidad Tecnológica Regional Del Sur (UTRS)</w:t>
            </w:r>
          </w:p>
        </w:tc>
      </w:tr>
      <w:tr w:rsidR="004850C2" w:rsidTr="004850C2">
        <w:trPr>
          <w:trHeight w:val="200"/>
        </w:trPr>
        <w:tc>
          <w:tcPr>
            <w:tcW w:w="0" w:type="auto"/>
            <w:tcBorders>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Eficiencia Terminal de la Universidad Tecnológica Regional del Sur</w:t>
            </w:r>
          </w:p>
        </w:tc>
        <w:tc>
          <w:tcPr>
            <w:tcW w:w="1575" w:type="dxa"/>
            <w:tcBorders>
              <w:left w:val="nil"/>
            </w:tcBorders>
            <w:hideMark/>
          </w:tcPr>
          <w:p w:rsidR="004850C2" w:rsidRDefault="004850C2">
            <w:pPr>
              <w:jc w:val="right"/>
              <w:rPr>
                <w:rFonts w:ascii="Barlow Medium" w:eastAsia="Times New Roman" w:hAnsi="Barlow Medium" w:cs="Arial"/>
                <w:bCs/>
                <w:color w:val="000000"/>
                <w:sz w:val="20"/>
                <w:szCs w:val="20"/>
              </w:rPr>
            </w:pPr>
            <w:r>
              <w:rPr>
                <w:rFonts w:ascii="Barlow Medium" w:eastAsia="Times New Roman" w:hAnsi="Barlow Medium" w:cs="Arial"/>
                <w:color w:val="000000"/>
                <w:sz w:val="20"/>
                <w:szCs w:val="20"/>
              </w:rPr>
              <w:t>29, 373, 132</w:t>
            </w:r>
          </w:p>
        </w:tc>
      </w:tr>
      <w:tr w:rsidR="004850C2" w:rsidTr="004850C2">
        <w:trPr>
          <w:trHeight w:val="516"/>
        </w:trPr>
        <w:tc>
          <w:tcPr>
            <w:tcW w:w="0" w:type="auto"/>
            <w:tcBorders>
              <w:top w:val="nil"/>
              <w:left w:val="single" w:sz="8" w:space="0" w:color="5AA2AE" w:themeColor="accent5"/>
              <w:bottom w:val="nil"/>
              <w:right w:val="nil"/>
            </w:tcBorders>
            <w:hideMark/>
          </w:tcPr>
          <w:p w:rsidR="004850C2" w:rsidRDefault="004850C2">
            <w:pPr>
              <w:rPr>
                <w:rFonts w:ascii="Barlow Medium" w:eastAsia="Times New Roman" w:hAnsi="Barlow Medium" w:cs="Arial"/>
                <w:b/>
                <w:color w:val="000000"/>
                <w:sz w:val="20"/>
                <w:szCs w:val="20"/>
              </w:rPr>
            </w:pPr>
            <w:r>
              <w:rPr>
                <w:rFonts w:ascii="Barlow Medium" w:eastAsia="Times New Roman" w:hAnsi="Barlow Medium" w:cs="Arial"/>
                <w:b/>
                <w:color w:val="000000"/>
                <w:sz w:val="20"/>
                <w:szCs w:val="20"/>
              </w:rPr>
              <w:t>Vinculación, Promoción y Gestión con el Sector Productivo de la Universidad Tecnológica Regional del Sur</w:t>
            </w:r>
          </w:p>
        </w:tc>
        <w:tc>
          <w:tcPr>
            <w:tcW w:w="1575" w:type="dxa"/>
            <w:tcBorders>
              <w:top w:val="nil"/>
              <w:left w:val="nil"/>
              <w:bottom w:val="nil"/>
              <w:right w:val="single" w:sz="8" w:space="0" w:color="5AA2AE" w:themeColor="accent5"/>
            </w:tcBorders>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 319, 800</w:t>
            </w:r>
          </w:p>
        </w:tc>
      </w:tr>
      <w:tr w:rsidR="004850C2" w:rsidTr="004850C2">
        <w:trPr>
          <w:trHeight w:val="600"/>
        </w:trPr>
        <w:tc>
          <w:tcPr>
            <w:tcW w:w="0" w:type="auto"/>
            <w:tcBorders>
              <w:right w:val="nil"/>
            </w:tcBorders>
            <w:shd w:val="clear" w:color="auto" w:fill="D9D9D9" w:themeFill="background1" w:themeFillShade="D9"/>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Total general</w:t>
            </w:r>
          </w:p>
        </w:tc>
        <w:tc>
          <w:tcPr>
            <w:tcW w:w="1575" w:type="dxa"/>
            <w:tcBorders>
              <w:left w:val="nil"/>
            </w:tcBorders>
            <w:shd w:val="clear" w:color="auto" w:fill="D9D9D9" w:themeFill="background1" w:themeFillShade="D9"/>
            <w:noWrap/>
            <w:hideMark/>
          </w:tcPr>
          <w:p w:rsidR="004850C2" w:rsidRDefault="004850C2">
            <w:pPr>
              <w:jc w:val="right"/>
              <w:rPr>
                <w:rFonts w:ascii="Barlow Medium" w:eastAsia="Times New Roman" w:hAnsi="Barlow Medium" w:cs="Arial"/>
                <w:color w:val="000000"/>
                <w:sz w:val="20"/>
                <w:szCs w:val="20"/>
              </w:rPr>
            </w:pPr>
            <w:r>
              <w:rPr>
                <w:rFonts w:ascii="Barlow Medium" w:eastAsia="Times New Roman" w:hAnsi="Barlow Medium" w:cs="Arial"/>
                <w:b/>
                <w:bCs/>
                <w:color w:val="000000"/>
                <w:sz w:val="20"/>
                <w:szCs w:val="20"/>
              </w:rPr>
              <w:t>6,105,066,815</w:t>
            </w:r>
          </w:p>
        </w:tc>
      </w:tr>
    </w:tbl>
    <w:p w:rsidR="004850C2" w:rsidRDefault="004850C2" w:rsidP="004850C2">
      <w:pPr>
        <w:widowControl w:val="0"/>
        <w:spacing w:before="240"/>
        <w:jc w:val="center"/>
        <w:rPr>
          <w:rFonts w:ascii="Barlow Medium" w:eastAsia="Arial" w:hAnsi="Barlow Medium" w:cs="Arial"/>
          <w:sz w:val="20"/>
          <w:szCs w:val="20"/>
          <w:lang w:eastAsia="en-US"/>
        </w:rPr>
      </w:pPr>
      <w:r>
        <w:rPr>
          <w:rFonts w:ascii="Barlow Medium" w:eastAsia="Arial" w:hAnsi="Barlow Medium" w:cs="Arial"/>
          <w:sz w:val="20"/>
          <w:szCs w:val="20"/>
          <w:lang w:eastAsia="en-US"/>
        </w:rPr>
        <w:t>Elaboración propia. Presupuesto 2019 Secretaría de Administración y Finanzas.</w:t>
      </w:r>
    </w:p>
    <w:p w:rsidR="004850C2" w:rsidRDefault="004850C2" w:rsidP="004850C2">
      <w:pPr>
        <w:rPr>
          <w:rFonts w:ascii="Barlow Medium" w:hAnsi="Barlow Medium" w:cs="Arial"/>
          <w:lang w:eastAsia="es-MX"/>
        </w:rPr>
      </w:pPr>
      <w:r>
        <w:rPr>
          <w:rFonts w:ascii="Barlow Medium" w:hAnsi="Barlow Medium" w:cs="Arial"/>
        </w:rPr>
        <w:br w:type="page"/>
      </w:r>
    </w:p>
    <w:tbl>
      <w:tblPr>
        <w:tblW w:w="5000" w:type="pct"/>
        <w:tblCellMar>
          <w:left w:w="70" w:type="dxa"/>
          <w:right w:w="70" w:type="dxa"/>
        </w:tblCellMar>
        <w:tblLook w:val="04A0"/>
      </w:tblPr>
      <w:tblGrid>
        <w:gridCol w:w="8005"/>
        <w:gridCol w:w="2039"/>
      </w:tblGrid>
      <w:tr w:rsidR="004850C2" w:rsidTr="004850C2">
        <w:trPr>
          <w:trHeight w:val="960"/>
        </w:trPr>
        <w:tc>
          <w:tcPr>
            <w:tcW w:w="5000" w:type="pct"/>
            <w:gridSpan w:val="2"/>
            <w:vAlign w:val="center"/>
            <w:hideMark/>
          </w:tcPr>
          <w:p w:rsidR="004850C2" w:rsidRDefault="004850C2">
            <w:pPr>
              <w:jc w:val="center"/>
              <w:rPr>
                <w:rFonts w:ascii="Barlow Medium" w:eastAsia="Times New Roman" w:hAnsi="Barlow Medium" w:cs="Times New Roman"/>
                <w:b/>
                <w:bCs/>
                <w:color w:val="000000"/>
                <w:sz w:val="20"/>
                <w:szCs w:val="20"/>
              </w:rPr>
            </w:pPr>
            <w:r>
              <w:rPr>
                <w:rFonts w:ascii="Barlow Medium" w:eastAsia="Times New Roman" w:hAnsi="Barlow Medium" w:cs="Times New Roman"/>
                <w:b/>
                <w:bCs/>
                <w:color w:val="000000"/>
                <w:sz w:val="20"/>
                <w:szCs w:val="20"/>
              </w:rPr>
              <w:lastRenderedPageBreak/>
              <w:t>Anexo 16d</w:t>
            </w:r>
            <w:r>
              <w:rPr>
                <w:rFonts w:ascii="Barlow Medium" w:eastAsia="Times New Roman" w:hAnsi="Barlow Medium" w:cs="Times New Roman"/>
                <w:b/>
                <w:bCs/>
                <w:color w:val="000000"/>
                <w:sz w:val="20"/>
                <w:szCs w:val="20"/>
              </w:rPr>
              <w:br/>
              <w:t>Anexo de Asignaciones Presupuestales para Implementar las Medidas de Mitigación y Adaptación para el Cambio Climático.</w:t>
            </w:r>
          </w:p>
        </w:tc>
      </w:tr>
      <w:tr w:rsidR="004850C2" w:rsidTr="004850C2">
        <w:trPr>
          <w:trHeight w:val="300"/>
        </w:trPr>
        <w:tc>
          <w:tcPr>
            <w:tcW w:w="3985" w:type="pct"/>
            <w:vAlign w:val="center"/>
            <w:hideMark/>
          </w:tcPr>
          <w:p w:rsidR="004850C2" w:rsidRDefault="004850C2">
            <w:pPr>
              <w:rPr>
                <w:rFonts w:ascii="Barlow Medium" w:eastAsia="Times New Roman" w:hAnsi="Barlow Medium" w:cs="Times New Roman"/>
                <w:b/>
                <w:bCs/>
                <w:color w:val="000000"/>
                <w:sz w:val="20"/>
                <w:szCs w:val="20"/>
              </w:rPr>
            </w:pPr>
          </w:p>
        </w:tc>
        <w:tc>
          <w:tcPr>
            <w:tcW w:w="1015" w:type="pct"/>
            <w:noWrap/>
            <w:vAlign w:val="center"/>
            <w:hideMark/>
          </w:tcPr>
          <w:p w:rsidR="004850C2" w:rsidRDefault="004850C2">
            <w:pPr>
              <w:rPr>
                <w:rFonts w:eastAsiaTheme="minorHAnsi"/>
                <w:sz w:val="20"/>
                <w:szCs w:val="20"/>
                <w:lang w:eastAsia="es-ES_tradnl"/>
              </w:rPr>
            </w:pPr>
          </w:p>
        </w:tc>
      </w:tr>
      <w:tr w:rsidR="004850C2" w:rsidTr="004850C2">
        <w:trPr>
          <w:trHeight w:val="300"/>
        </w:trPr>
        <w:tc>
          <w:tcPr>
            <w:tcW w:w="3985" w:type="pct"/>
            <w:tcBorders>
              <w:top w:val="single" w:sz="4" w:space="0" w:color="auto"/>
              <w:left w:val="single" w:sz="4" w:space="0" w:color="auto"/>
              <w:bottom w:val="single" w:sz="4" w:space="0" w:color="auto"/>
              <w:right w:val="nil"/>
            </w:tcBorders>
            <w:shd w:val="clear" w:color="auto" w:fill="16365C"/>
            <w:vAlign w:val="center"/>
            <w:hideMark/>
          </w:tcPr>
          <w:p w:rsidR="004850C2" w:rsidRDefault="004850C2">
            <w:pPr>
              <w:jc w:val="center"/>
              <w:rPr>
                <w:rFonts w:ascii="Barlow Medium" w:eastAsia="Times New Roman" w:hAnsi="Barlow Medium" w:cs="Times New Roman"/>
                <w:b/>
                <w:bCs/>
                <w:color w:val="FFFFFF"/>
                <w:sz w:val="20"/>
                <w:szCs w:val="20"/>
                <w:lang w:eastAsia="es-MX"/>
              </w:rPr>
            </w:pPr>
            <w:r>
              <w:rPr>
                <w:rFonts w:ascii="Barlow Medium" w:eastAsia="Times New Roman" w:hAnsi="Barlow Medium" w:cs="Times New Roman"/>
                <w:b/>
                <w:bCs/>
                <w:color w:val="FFFFFF"/>
                <w:sz w:val="20"/>
                <w:szCs w:val="20"/>
              </w:rPr>
              <w:t>Programa / Proyecto</w:t>
            </w:r>
          </w:p>
        </w:tc>
        <w:tc>
          <w:tcPr>
            <w:tcW w:w="1015" w:type="pct"/>
            <w:tcBorders>
              <w:top w:val="single" w:sz="4" w:space="0" w:color="auto"/>
              <w:left w:val="nil"/>
              <w:bottom w:val="single" w:sz="4" w:space="0" w:color="auto"/>
              <w:right w:val="single" w:sz="4" w:space="0" w:color="auto"/>
            </w:tcBorders>
            <w:shd w:val="clear" w:color="auto" w:fill="16365C"/>
            <w:noWrap/>
            <w:vAlign w:val="center"/>
            <w:hideMark/>
          </w:tcPr>
          <w:p w:rsidR="004850C2" w:rsidRDefault="004850C2">
            <w:pPr>
              <w:jc w:val="center"/>
              <w:rPr>
                <w:rFonts w:ascii="Barlow Medium" w:eastAsia="Times New Roman" w:hAnsi="Barlow Medium" w:cs="Times New Roman"/>
                <w:b/>
                <w:bCs/>
                <w:color w:val="FFFFFF"/>
                <w:sz w:val="20"/>
                <w:szCs w:val="20"/>
              </w:rPr>
            </w:pPr>
            <w:r>
              <w:rPr>
                <w:rFonts w:ascii="Barlow Medium" w:eastAsia="Times New Roman" w:hAnsi="Barlow Medium" w:cs="Times New Roman"/>
                <w:b/>
                <w:bCs/>
                <w:color w:val="FFFFFF"/>
                <w:sz w:val="20"/>
                <w:szCs w:val="20"/>
              </w:rPr>
              <w:t>Importe (pesos)</w:t>
            </w:r>
          </w:p>
        </w:tc>
      </w:tr>
      <w:tr w:rsidR="004850C2" w:rsidTr="004850C2">
        <w:trPr>
          <w:trHeight w:val="600"/>
        </w:trPr>
        <w:tc>
          <w:tcPr>
            <w:tcW w:w="3985" w:type="pct"/>
            <w:tcBorders>
              <w:top w:val="nil"/>
              <w:left w:val="single" w:sz="4" w:space="0" w:color="auto"/>
              <w:bottom w:val="nil"/>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Proyecto regional e integral para el manejo de residuos sólidos urbanos en la Zona Metropolitana de Mérida</w:t>
            </w:r>
          </w:p>
        </w:tc>
        <w:tc>
          <w:tcPr>
            <w:tcW w:w="1015" w:type="pct"/>
            <w:tcBorders>
              <w:top w:val="nil"/>
              <w:left w:val="nil"/>
              <w:bottom w:val="nil"/>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30,000 </w:t>
            </w:r>
          </w:p>
        </w:tc>
      </w:tr>
      <w:tr w:rsidR="004850C2" w:rsidTr="004850C2">
        <w:trPr>
          <w:trHeight w:val="600"/>
        </w:trPr>
        <w:tc>
          <w:tcPr>
            <w:tcW w:w="3985" w:type="pct"/>
            <w:tcBorders>
              <w:top w:val="nil"/>
              <w:left w:val="single" w:sz="4" w:space="0" w:color="auto"/>
              <w:bottom w:val="nil"/>
              <w:right w:val="nil"/>
            </w:tcBorders>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Implementación de sistema </w:t>
            </w:r>
            <w:r>
              <w:rPr>
                <w:rFonts w:ascii="Barlow Medium" w:eastAsia="Times New Roman" w:hAnsi="Barlow Medium" w:cs="Times New Roman"/>
                <w:i/>
                <w:iCs/>
                <w:color w:val="000000"/>
                <w:sz w:val="20"/>
                <w:szCs w:val="20"/>
              </w:rPr>
              <w:t>Bypass</w:t>
            </w:r>
            <w:r>
              <w:rPr>
                <w:rFonts w:ascii="Barlow Medium" w:eastAsia="Times New Roman" w:hAnsi="Barlow Medium" w:cs="Times New Roman"/>
                <w:color w:val="000000"/>
                <w:sz w:val="20"/>
                <w:szCs w:val="20"/>
              </w:rPr>
              <w:t xml:space="preserve"> para el trasvase de arena en la escollera de Puerto de Abrigo de Telchac Puerto, Yucatán</w:t>
            </w:r>
          </w:p>
        </w:tc>
        <w:tc>
          <w:tcPr>
            <w:tcW w:w="1015" w:type="pct"/>
            <w:tcBorders>
              <w:top w:val="nil"/>
              <w:left w:val="nil"/>
              <w:bottom w:val="nil"/>
              <w:right w:val="single" w:sz="4" w:space="0" w:color="auto"/>
            </w:tcBorders>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93,633 </w:t>
            </w:r>
          </w:p>
        </w:tc>
      </w:tr>
      <w:tr w:rsidR="004850C2" w:rsidTr="004850C2">
        <w:trPr>
          <w:trHeight w:val="600"/>
        </w:trPr>
        <w:tc>
          <w:tcPr>
            <w:tcW w:w="3985" w:type="pct"/>
            <w:tcBorders>
              <w:top w:val="nil"/>
              <w:left w:val="single" w:sz="4" w:space="0" w:color="auto"/>
              <w:bottom w:val="nil"/>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Fideicomiso Ambiental del Estado de Yucatán</w:t>
            </w:r>
          </w:p>
        </w:tc>
        <w:tc>
          <w:tcPr>
            <w:tcW w:w="1015" w:type="pct"/>
            <w:tcBorders>
              <w:top w:val="nil"/>
              <w:left w:val="nil"/>
              <w:bottom w:val="nil"/>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7,400,000 </w:t>
            </w:r>
          </w:p>
        </w:tc>
      </w:tr>
      <w:tr w:rsidR="004850C2" w:rsidTr="004850C2">
        <w:trPr>
          <w:trHeight w:val="600"/>
        </w:trPr>
        <w:tc>
          <w:tcPr>
            <w:tcW w:w="3985" w:type="pct"/>
            <w:tcBorders>
              <w:top w:val="nil"/>
              <w:left w:val="single" w:sz="4" w:space="0" w:color="auto"/>
              <w:bottom w:val="nil"/>
              <w:right w:val="nil"/>
            </w:tcBorders>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Producción de plantas nativas con fines de reforestación social</w:t>
            </w:r>
          </w:p>
        </w:tc>
        <w:tc>
          <w:tcPr>
            <w:tcW w:w="1015" w:type="pct"/>
            <w:tcBorders>
              <w:top w:val="nil"/>
              <w:left w:val="nil"/>
              <w:bottom w:val="nil"/>
              <w:right w:val="single" w:sz="4" w:space="0" w:color="auto"/>
            </w:tcBorders>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1,108,458 </w:t>
            </w:r>
          </w:p>
        </w:tc>
      </w:tr>
      <w:tr w:rsidR="004850C2" w:rsidTr="004850C2">
        <w:trPr>
          <w:trHeight w:val="600"/>
        </w:trPr>
        <w:tc>
          <w:tcPr>
            <w:tcW w:w="3985" w:type="pct"/>
            <w:tcBorders>
              <w:top w:val="nil"/>
              <w:left w:val="single" w:sz="4" w:space="0" w:color="auto"/>
              <w:bottom w:val="nil"/>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Manejo sustentable para la conservación de especies prioritarias y vida silvestre de la costa Yucateca</w:t>
            </w:r>
          </w:p>
        </w:tc>
        <w:tc>
          <w:tcPr>
            <w:tcW w:w="1015" w:type="pct"/>
            <w:tcBorders>
              <w:top w:val="nil"/>
              <w:left w:val="nil"/>
              <w:bottom w:val="nil"/>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76,385 </w:t>
            </w:r>
          </w:p>
        </w:tc>
      </w:tr>
      <w:tr w:rsidR="004850C2" w:rsidTr="004850C2">
        <w:trPr>
          <w:trHeight w:val="600"/>
        </w:trPr>
        <w:tc>
          <w:tcPr>
            <w:tcW w:w="3985" w:type="pct"/>
            <w:tcBorders>
              <w:top w:val="nil"/>
              <w:left w:val="single" w:sz="4" w:space="0" w:color="auto"/>
              <w:bottom w:val="nil"/>
              <w:right w:val="nil"/>
            </w:tcBorders>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Implementación de políticas para el fortalecimiento de la resiliencia local ante el cambio climático asociadas a la conservación de las selvas</w:t>
            </w:r>
          </w:p>
        </w:tc>
        <w:tc>
          <w:tcPr>
            <w:tcW w:w="1015" w:type="pct"/>
            <w:tcBorders>
              <w:top w:val="nil"/>
              <w:left w:val="nil"/>
              <w:bottom w:val="nil"/>
              <w:right w:val="single" w:sz="4" w:space="0" w:color="auto"/>
            </w:tcBorders>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91,212 </w:t>
            </w:r>
          </w:p>
        </w:tc>
      </w:tr>
      <w:tr w:rsidR="004850C2" w:rsidTr="004850C2">
        <w:trPr>
          <w:trHeight w:val="600"/>
        </w:trPr>
        <w:tc>
          <w:tcPr>
            <w:tcW w:w="3985" w:type="pct"/>
            <w:tcBorders>
              <w:top w:val="nil"/>
              <w:left w:val="single" w:sz="4" w:space="0" w:color="auto"/>
              <w:bottom w:val="nil"/>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Gestión y manejo integral de los residuos sólidos para su aprovechamiento sustentable</w:t>
            </w:r>
          </w:p>
        </w:tc>
        <w:tc>
          <w:tcPr>
            <w:tcW w:w="1015" w:type="pct"/>
            <w:tcBorders>
              <w:top w:val="nil"/>
              <w:left w:val="nil"/>
              <w:bottom w:val="nil"/>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14,000,000 </w:t>
            </w:r>
          </w:p>
        </w:tc>
      </w:tr>
      <w:tr w:rsidR="004850C2" w:rsidTr="004850C2">
        <w:trPr>
          <w:trHeight w:val="600"/>
        </w:trPr>
        <w:tc>
          <w:tcPr>
            <w:tcW w:w="3985" w:type="pct"/>
            <w:tcBorders>
              <w:top w:val="nil"/>
              <w:left w:val="single" w:sz="4" w:space="0" w:color="auto"/>
              <w:bottom w:val="nil"/>
              <w:right w:val="nil"/>
            </w:tcBorders>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Aprovechamiento sustentable de los cenotes y grutas del estado de Yucatán</w:t>
            </w:r>
          </w:p>
        </w:tc>
        <w:tc>
          <w:tcPr>
            <w:tcW w:w="1015" w:type="pct"/>
            <w:tcBorders>
              <w:top w:val="nil"/>
              <w:left w:val="nil"/>
              <w:bottom w:val="nil"/>
              <w:right w:val="single" w:sz="4" w:space="0" w:color="auto"/>
            </w:tcBorders>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337,884 </w:t>
            </w:r>
          </w:p>
        </w:tc>
      </w:tr>
      <w:tr w:rsidR="004850C2" w:rsidTr="004850C2">
        <w:trPr>
          <w:trHeight w:val="960"/>
        </w:trPr>
        <w:tc>
          <w:tcPr>
            <w:tcW w:w="3985" w:type="pct"/>
            <w:tcBorders>
              <w:top w:val="nil"/>
              <w:left w:val="single" w:sz="4" w:space="0" w:color="auto"/>
              <w:bottom w:val="nil"/>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Administración para el aprovechamiento sustentable de Áreas Naturales Protegidas (ANP) estatales y sitios prioritarios para la conservación en el Estado de Yucatán</w:t>
            </w:r>
          </w:p>
        </w:tc>
        <w:tc>
          <w:tcPr>
            <w:tcW w:w="1015" w:type="pct"/>
            <w:tcBorders>
              <w:top w:val="nil"/>
              <w:left w:val="nil"/>
              <w:bottom w:val="nil"/>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42,000,000 </w:t>
            </w:r>
          </w:p>
        </w:tc>
      </w:tr>
      <w:tr w:rsidR="004850C2" w:rsidTr="004850C2">
        <w:trPr>
          <w:trHeight w:val="600"/>
        </w:trPr>
        <w:tc>
          <w:tcPr>
            <w:tcW w:w="3985" w:type="pct"/>
            <w:tcBorders>
              <w:top w:val="nil"/>
              <w:left w:val="single" w:sz="4" w:space="0" w:color="auto"/>
              <w:bottom w:val="nil"/>
              <w:right w:val="nil"/>
            </w:tcBorders>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Implementación de políticas públicas para la reducción de emisiones de gases de efecto invernadero</w:t>
            </w:r>
          </w:p>
        </w:tc>
        <w:tc>
          <w:tcPr>
            <w:tcW w:w="1015" w:type="pct"/>
            <w:tcBorders>
              <w:top w:val="nil"/>
              <w:left w:val="nil"/>
              <w:bottom w:val="nil"/>
              <w:right w:val="single" w:sz="4" w:space="0" w:color="auto"/>
            </w:tcBorders>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215,203 </w:t>
            </w:r>
          </w:p>
        </w:tc>
      </w:tr>
      <w:tr w:rsidR="004850C2" w:rsidTr="004850C2">
        <w:trPr>
          <w:trHeight w:val="600"/>
        </w:trPr>
        <w:tc>
          <w:tcPr>
            <w:tcW w:w="3985" w:type="pct"/>
            <w:tcBorders>
              <w:top w:val="nil"/>
              <w:left w:val="single" w:sz="4" w:space="0" w:color="auto"/>
              <w:bottom w:val="single" w:sz="4" w:space="0" w:color="auto"/>
              <w:right w:val="nil"/>
            </w:tcBorders>
            <w:shd w:val="clear" w:color="auto" w:fill="F2F2F2"/>
            <w:vAlign w:val="center"/>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Programa de cambio climático en el Estado de Yucatán</w:t>
            </w:r>
          </w:p>
        </w:tc>
        <w:tc>
          <w:tcPr>
            <w:tcW w:w="1015" w:type="pct"/>
            <w:tcBorders>
              <w:top w:val="nil"/>
              <w:left w:val="nil"/>
              <w:bottom w:val="single" w:sz="4" w:space="0" w:color="auto"/>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 xml:space="preserve">                           17,700 </w:t>
            </w:r>
          </w:p>
        </w:tc>
      </w:tr>
      <w:tr w:rsidR="004850C2" w:rsidTr="004850C2">
        <w:trPr>
          <w:trHeight w:val="300"/>
        </w:trPr>
        <w:tc>
          <w:tcPr>
            <w:tcW w:w="3985" w:type="pct"/>
            <w:vAlign w:val="center"/>
            <w:hideMark/>
          </w:tcPr>
          <w:p w:rsidR="004850C2" w:rsidRDefault="004850C2">
            <w:pPr>
              <w:jc w:val="right"/>
              <w:rPr>
                <w:rFonts w:ascii="Barlow Medium" w:eastAsia="Times New Roman" w:hAnsi="Barlow Medium" w:cs="Times New Roman"/>
                <w:b/>
                <w:bCs/>
                <w:color w:val="000000"/>
                <w:sz w:val="20"/>
                <w:szCs w:val="20"/>
              </w:rPr>
            </w:pPr>
            <w:r>
              <w:rPr>
                <w:rFonts w:ascii="Barlow Medium" w:eastAsia="Times New Roman" w:hAnsi="Barlow Medium" w:cs="Times New Roman"/>
                <w:b/>
                <w:bCs/>
                <w:color w:val="000000"/>
                <w:sz w:val="20"/>
                <w:szCs w:val="20"/>
              </w:rPr>
              <w:t xml:space="preserve"> Total </w:t>
            </w:r>
          </w:p>
        </w:tc>
        <w:tc>
          <w:tcPr>
            <w:tcW w:w="1015" w:type="pct"/>
            <w:noWrap/>
            <w:vAlign w:val="center"/>
            <w:hideMark/>
          </w:tcPr>
          <w:p w:rsidR="004850C2" w:rsidRDefault="004850C2">
            <w:pPr>
              <w:jc w:val="center"/>
              <w:rPr>
                <w:rFonts w:ascii="Barlow Medium" w:eastAsia="Times New Roman" w:hAnsi="Barlow Medium" w:cs="Times New Roman"/>
                <w:b/>
                <w:bCs/>
                <w:color w:val="000000"/>
                <w:sz w:val="20"/>
                <w:szCs w:val="20"/>
              </w:rPr>
            </w:pPr>
            <w:r>
              <w:rPr>
                <w:rFonts w:ascii="Barlow Medium" w:eastAsia="Times New Roman" w:hAnsi="Barlow Medium" w:cs="Times New Roman"/>
                <w:b/>
                <w:bCs/>
                <w:color w:val="000000"/>
                <w:sz w:val="20"/>
                <w:szCs w:val="20"/>
              </w:rPr>
              <w:t xml:space="preserve">          65,370,475 </w:t>
            </w:r>
          </w:p>
        </w:tc>
      </w:tr>
    </w:tbl>
    <w:p w:rsidR="004850C2" w:rsidRDefault="004850C2" w:rsidP="004850C2">
      <w:pPr>
        <w:rPr>
          <w:rFonts w:ascii="Barlow Medium" w:hAnsi="Barlow Medium" w:cs="Arial"/>
          <w:lang w:eastAsia="es-MX"/>
        </w:rPr>
      </w:pPr>
    </w:p>
    <w:p w:rsidR="004850C2" w:rsidRDefault="004850C2" w:rsidP="004850C2">
      <w:pPr>
        <w:rPr>
          <w:rFonts w:ascii="Barlow Medium" w:hAnsi="Barlow Medium" w:cs="Arial"/>
        </w:rPr>
      </w:pPr>
      <w:r>
        <w:rPr>
          <w:rFonts w:ascii="Barlow Medium" w:hAnsi="Barlow Medium" w:cs="Arial"/>
        </w:rPr>
        <w:br w:type="page"/>
      </w:r>
    </w:p>
    <w:tbl>
      <w:tblPr>
        <w:tblW w:w="5000" w:type="pct"/>
        <w:tblCellMar>
          <w:left w:w="70" w:type="dxa"/>
          <w:right w:w="70" w:type="dxa"/>
        </w:tblCellMar>
        <w:tblLook w:val="04A0"/>
      </w:tblPr>
      <w:tblGrid>
        <w:gridCol w:w="1201"/>
        <w:gridCol w:w="866"/>
        <w:gridCol w:w="6655"/>
        <w:gridCol w:w="1322"/>
      </w:tblGrid>
      <w:tr w:rsidR="004850C2" w:rsidTr="004850C2">
        <w:trPr>
          <w:trHeight w:val="300"/>
        </w:trPr>
        <w:tc>
          <w:tcPr>
            <w:tcW w:w="5000" w:type="pct"/>
            <w:gridSpan w:val="4"/>
            <w:noWrap/>
            <w:vAlign w:val="bottom"/>
            <w:hideMark/>
          </w:tcPr>
          <w:p w:rsidR="004850C2" w:rsidRDefault="004850C2">
            <w:pPr>
              <w:jc w:val="center"/>
              <w:rPr>
                <w:rFonts w:ascii="Barlow Medium" w:eastAsia="Times New Roman" w:hAnsi="Barlow Medium" w:cs="Times New Roman"/>
                <w:b/>
                <w:bCs/>
                <w:color w:val="000000"/>
                <w:sz w:val="20"/>
                <w:szCs w:val="20"/>
              </w:rPr>
            </w:pPr>
            <w:r>
              <w:rPr>
                <w:rFonts w:ascii="Barlow Medium" w:eastAsia="Times New Roman" w:hAnsi="Barlow Medium" w:cs="Times New Roman"/>
                <w:b/>
                <w:bCs/>
                <w:color w:val="000000"/>
                <w:sz w:val="20"/>
                <w:szCs w:val="20"/>
              </w:rPr>
              <w:lastRenderedPageBreak/>
              <w:t>Anexo 16e. Anexo de Asignaciones Presupuestales</w:t>
            </w:r>
          </w:p>
        </w:tc>
      </w:tr>
      <w:tr w:rsidR="004850C2" w:rsidTr="004850C2">
        <w:trPr>
          <w:trHeight w:val="300"/>
        </w:trPr>
        <w:tc>
          <w:tcPr>
            <w:tcW w:w="5000" w:type="pct"/>
            <w:gridSpan w:val="4"/>
            <w:noWrap/>
            <w:vAlign w:val="bottom"/>
            <w:hideMark/>
          </w:tcPr>
          <w:p w:rsidR="004850C2" w:rsidRDefault="004850C2">
            <w:pPr>
              <w:jc w:val="center"/>
              <w:rPr>
                <w:rFonts w:ascii="Barlow Medium" w:eastAsia="Times New Roman" w:hAnsi="Barlow Medium" w:cs="Times New Roman"/>
                <w:b/>
                <w:bCs/>
                <w:color w:val="000000"/>
                <w:sz w:val="20"/>
                <w:szCs w:val="20"/>
              </w:rPr>
            </w:pPr>
            <w:r>
              <w:rPr>
                <w:rFonts w:ascii="Barlow Medium" w:eastAsia="Times New Roman" w:hAnsi="Barlow Medium" w:cs="Times New Roman"/>
                <w:b/>
                <w:bCs/>
                <w:color w:val="000000"/>
                <w:sz w:val="20"/>
                <w:szCs w:val="20"/>
              </w:rPr>
              <w:t>para el Sistema de Justicia Penal Acusatorio</w:t>
            </w:r>
          </w:p>
        </w:tc>
      </w:tr>
      <w:tr w:rsidR="004850C2" w:rsidTr="004850C2">
        <w:trPr>
          <w:trHeight w:val="300"/>
        </w:trPr>
        <w:tc>
          <w:tcPr>
            <w:tcW w:w="609" w:type="pct"/>
            <w:noWrap/>
            <w:vAlign w:val="bottom"/>
            <w:hideMark/>
          </w:tcPr>
          <w:p w:rsidR="004850C2" w:rsidRDefault="004850C2">
            <w:pPr>
              <w:rPr>
                <w:rFonts w:ascii="Barlow Medium" w:eastAsia="Times New Roman" w:hAnsi="Barlow Medium" w:cs="Times New Roman"/>
                <w:b/>
                <w:bCs/>
                <w:color w:val="000000"/>
                <w:sz w:val="20"/>
                <w:szCs w:val="20"/>
              </w:rPr>
            </w:pPr>
          </w:p>
        </w:tc>
        <w:tc>
          <w:tcPr>
            <w:tcW w:w="398" w:type="pct"/>
            <w:noWrap/>
            <w:vAlign w:val="bottom"/>
            <w:hideMark/>
          </w:tcPr>
          <w:p w:rsidR="004850C2" w:rsidRDefault="004850C2">
            <w:pPr>
              <w:rPr>
                <w:rFonts w:eastAsiaTheme="minorHAnsi"/>
                <w:sz w:val="20"/>
                <w:szCs w:val="20"/>
                <w:lang w:eastAsia="es-ES_tradnl"/>
              </w:rPr>
            </w:pPr>
          </w:p>
        </w:tc>
        <w:tc>
          <w:tcPr>
            <w:tcW w:w="3324" w:type="pct"/>
            <w:noWrap/>
            <w:vAlign w:val="bottom"/>
            <w:hideMark/>
          </w:tcPr>
          <w:p w:rsidR="004850C2" w:rsidRDefault="004850C2">
            <w:pPr>
              <w:rPr>
                <w:rFonts w:eastAsiaTheme="minorHAnsi"/>
                <w:sz w:val="20"/>
                <w:szCs w:val="20"/>
                <w:lang w:eastAsia="es-ES_tradnl"/>
              </w:rPr>
            </w:pPr>
          </w:p>
        </w:tc>
        <w:tc>
          <w:tcPr>
            <w:tcW w:w="669" w:type="pct"/>
            <w:noWrap/>
            <w:vAlign w:val="bottom"/>
            <w:hideMark/>
          </w:tcPr>
          <w:p w:rsidR="004850C2" w:rsidRDefault="004850C2">
            <w:pPr>
              <w:rPr>
                <w:rFonts w:eastAsiaTheme="minorHAnsi"/>
                <w:sz w:val="20"/>
                <w:szCs w:val="20"/>
                <w:lang w:eastAsia="es-ES_tradnl"/>
              </w:rPr>
            </w:pPr>
          </w:p>
        </w:tc>
      </w:tr>
      <w:tr w:rsidR="004850C2" w:rsidTr="004850C2">
        <w:trPr>
          <w:trHeight w:val="165"/>
        </w:trPr>
        <w:tc>
          <w:tcPr>
            <w:tcW w:w="609" w:type="pct"/>
            <w:noWrap/>
            <w:vAlign w:val="bottom"/>
            <w:hideMark/>
          </w:tcPr>
          <w:p w:rsidR="004850C2" w:rsidRDefault="004850C2">
            <w:pPr>
              <w:rPr>
                <w:rFonts w:eastAsiaTheme="minorHAnsi"/>
                <w:sz w:val="20"/>
                <w:szCs w:val="20"/>
                <w:lang w:eastAsia="es-ES_tradnl"/>
              </w:rPr>
            </w:pPr>
          </w:p>
        </w:tc>
        <w:tc>
          <w:tcPr>
            <w:tcW w:w="398" w:type="pct"/>
            <w:noWrap/>
            <w:vAlign w:val="bottom"/>
            <w:hideMark/>
          </w:tcPr>
          <w:p w:rsidR="004850C2" w:rsidRDefault="004850C2">
            <w:pPr>
              <w:rPr>
                <w:rFonts w:eastAsiaTheme="minorHAnsi"/>
                <w:sz w:val="20"/>
                <w:szCs w:val="20"/>
                <w:lang w:eastAsia="es-ES_tradnl"/>
              </w:rPr>
            </w:pPr>
          </w:p>
        </w:tc>
        <w:tc>
          <w:tcPr>
            <w:tcW w:w="3324" w:type="pct"/>
            <w:noWrap/>
            <w:vAlign w:val="bottom"/>
            <w:hideMark/>
          </w:tcPr>
          <w:p w:rsidR="004850C2" w:rsidRDefault="004850C2">
            <w:pPr>
              <w:rPr>
                <w:rFonts w:eastAsiaTheme="minorHAnsi"/>
                <w:sz w:val="20"/>
                <w:szCs w:val="20"/>
                <w:lang w:eastAsia="es-ES_tradnl"/>
              </w:rPr>
            </w:pPr>
          </w:p>
        </w:tc>
        <w:tc>
          <w:tcPr>
            <w:tcW w:w="669" w:type="pct"/>
            <w:noWrap/>
            <w:vAlign w:val="bottom"/>
            <w:hideMark/>
          </w:tcPr>
          <w:p w:rsidR="004850C2" w:rsidRDefault="004850C2">
            <w:pPr>
              <w:rPr>
                <w:rFonts w:eastAsiaTheme="minorHAnsi"/>
                <w:sz w:val="20"/>
                <w:szCs w:val="20"/>
                <w:lang w:eastAsia="es-ES_tradnl"/>
              </w:rPr>
            </w:pPr>
          </w:p>
        </w:tc>
      </w:tr>
      <w:tr w:rsidR="004850C2" w:rsidTr="004850C2">
        <w:trPr>
          <w:trHeight w:val="540"/>
        </w:trPr>
        <w:tc>
          <w:tcPr>
            <w:tcW w:w="609" w:type="pct"/>
            <w:tcBorders>
              <w:top w:val="single" w:sz="4" w:space="0" w:color="948A54"/>
              <w:left w:val="single" w:sz="4" w:space="0" w:color="948A54"/>
              <w:bottom w:val="single" w:sz="4" w:space="0" w:color="auto"/>
              <w:right w:val="single" w:sz="4" w:space="0" w:color="948A54"/>
            </w:tcBorders>
            <w:shd w:val="clear" w:color="auto" w:fill="16365C"/>
            <w:noWrap/>
            <w:vAlign w:val="center"/>
            <w:hideMark/>
          </w:tcPr>
          <w:p w:rsidR="004850C2" w:rsidRDefault="004850C2">
            <w:pPr>
              <w:jc w:val="center"/>
              <w:rPr>
                <w:rFonts w:ascii="Barlow Medium" w:eastAsia="Times New Roman" w:hAnsi="Barlow Medium" w:cs="Times New Roman"/>
                <w:b/>
                <w:bCs/>
                <w:color w:val="FFFFFF"/>
                <w:sz w:val="20"/>
                <w:szCs w:val="20"/>
                <w:lang w:eastAsia="es-MX"/>
              </w:rPr>
            </w:pPr>
            <w:bookmarkStart w:id="1" w:name="RANGE!A5:D19"/>
            <w:r>
              <w:rPr>
                <w:rFonts w:ascii="Barlow Medium" w:eastAsia="Times New Roman" w:hAnsi="Barlow Medium" w:cs="Times New Roman"/>
                <w:b/>
                <w:bCs/>
                <w:color w:val="FFFFFF"/>
                <w:sz w:val="20"/>
                <w:szCs w:val="20"/>
              </w:rPr>
              <w:t>Institución</w:t>
            </w:r>
            <w:bookmarkEnd w:id="1"/>
          </w:p>
        </w:tc>
        <w:tc>
          <w:tcPr>
            <w:tcW w:w="398" w:type="pct"/>
            <w:tcBorders>
              <w:top w:val="single" w:sz="4" w:space="0" w:color="948A54"/>
              <w:left w:val="nil"/>
              <w:bottom w:val="single" w:sz="4" w:space="0" w:color="948A54"/>
              <w:right w:val="single" w:sz="4" w:space="0" w:color="948A54"/>
            </w:tcBorders>
            <w:shd w:val="clear" w:color="auto" w:fill="16365C"/>
            <w:noWrap/>
            <w:vAlign w:val="center"/>
            <w:hideMark/>
          </w:tcPr>
          <w:p w:rsidR="004850C2" w:rsidRDefault="004850C2">
            <w:pPr>
              <w:jc w:val="center"/>
              <w:rPr>
                <w:rFonts w:ascii="Barlow Medium" w:eastAsia="Times New Roman" w:hAnsi="Barlow Medium" w:cs="Times New Roman"/>
                <w:b/>
                <w:bCs/>
                <w:color w:val="FFFFFF"/>
                <w:sz w:val="20"/>
                <w:szCs w:val="20"/>
              </w:rPr>
            </w:pPr>
            <w:r>
              <w:rPr>
                <w:rFonts w:ascii="Barlow Medium" w:eastAsia="Times New Roman" w:hAnsi="Barlow Medium" w:cs="Times New Roman"/>
                <w:b/>
                <w:bCs/>
                <w:color w:val="FFFFFF"/>
                <w:sz w:val="20"/>
                <w:szCs w:val="20"/>
              </w:rPr>
              <w:t>Num. PP</w:t>
            </w:r>
          </w:p>
        </w:tc>
        <w:tc>
          <w:tcPr>
            <w:tcW w:w="3324" w:type="pct"/>
            <w:tcBorders>
              <w:top w:val="single" w:sz="4" w:space="0" w:color="948A54"/>
              <w:left w:val="nil"/>
              <w:bottom w:val="single" w:sz="4" w:space="0" w:color="948A54"/>
              <w:right w:val="single" w:sz="4" w:space="0" w:color="948A54"/>
            </w:tcBorders>
            <w:shd w:val="clear" w:color="auto" w:fill="16365C"/>
            <w:noWrap/>
            <w:vAlign w:val="center"/>
            <w:hideMark/>
          </w:tcPr>
          <w:p w:rsidR="004850C2" w:rsidRDefault="004850C2">
            <w:pPr>
              <w:jc w:val="center"/>
              <w:rPr>
                <w:rFonts w:ascii="Barlow Medium" w:eastAsia="Times New Roman" w:hAnsi="Barlow Medium" w:cs="Times New Roman"/>
                <w:b/>
                <w:bCs/>
                <w:color w:val="FFFFFF"/>
                <w:sz w:val="20"/>
                <w:szCs w:val="20"/>
              </w:rPr>
            </w:pPr>
            <w:r>
              <w:rPr>
                <w:rFonts w:ascii="Barlow Medium" w:eastAsia="Times New Roman" w:hAnsi="Barlow Medium" w:cs="Times New Roman"/>
                <w:b/>
                <w:bCs/>
                <w:color w:val="FFFFFF"/>
                <w:sz w:val="20"/>
                <w:szCs w:val="20"/>
              </w:rPr>
              <w:t>Programa Presupuestario</w:t>
            </w:r>
          </w:p>
        </w:tc>
        <w:tc>
          <w:tcPr>
            <w:tcW w:w="669" w:type="pct"/>
            <w:tcBorders>
              <w:top w:val="single" w:sz="4" w:space="0" w:color="948A54"/>
              <w:left w:val="nil"/>
              <w:bottom w:val="single" w:sz="4" w:space="0" w:color="948A54"/>
              <w:right w:val="single" w:sz="4" w:space="0" w:color="948A54"/>
            </w:tcBorders>
            <w:shd w:val="clear" w:color="auto" w:fill="16365C"/>
            <w:vAlign w:val="center"/>
            <w:hideMark/>
          </w:tcPr>
          <w:p w:rsidR="004850C2" w:rsidRDefault="004850C2">
            <w:pPr>
              <w:jc w:val="center"/>
              <w:rPr>
                <w:rFonts w:ascii="Barlow Medium" w:eastAsia="Times New Roman" w:hAnsi="Barlow Medium" w:cs="Times New Roman"/>
                <w:b/>
                <w:bCs/>
                <w:color w:val="FFFFFF"/>
                <w:sz w:val="20"/>
                <w:szCs w:val="20"/>
              </w:rPr>
            </w:pPr>
            <w:r>
              <w:rPr>
                <w:rFonts w:ascii="Barlow Medium" w:eastAsia="Times New Roman" w:hAnsi="Barlow Medium" w:cs="Times New Roman"/>
                <w:b/>
                <w:bCs/>
                <w:color w:val="FFFFFF"/>
                <w:sz w:val="20"/>
                <w:szCs w:val="20"/>
              </w:rPr>
              <w:t xml:space="preserve">Importe </w:t>
            </w:r>
            <w:r>
              <w:rPr>
                <w:rFonts w:ascii="Barlow Medium" w:eastAsia="Times New Roman" w:hAnsi="Barlow Medium" w:cs="Times New Roman"/>
                <w:b/>
                <w:bCs/>
                <w:color w:val="FFFFFF"/>
                <w:sz w:val="20"/>
                <w:szCs w:val="20"/>
              </w:rPr>
              <w:br/>
              <w:t>(pesos)</w:t>
            </w:r>
          </w:p>
        </w:tc>
      </w:tr>
      <w:tr w:rsidR="004850C2" w:rsidTr="004850C2">
        <w:trPr>
          <w:trHeight w:val="300"/>
        </w:trPr>
        <w:tc>
          <w:tcPr>
            <w:tcW w:w="609" w:type="pct"/>
            <w:vMerge w:val="restart"/>
            <w:tcBorders>
              <w:top w:val="single" w:sz="4" w:space="0" w:color="auto"/>
              <w:left w:val="single" w:sz="4" w:space="0" w:color="auto"/>
              <w:bottom w:val="single" w:sz="4" w:space="0" w:color="auto"/>
              <w:right w:val="single" w:sz="4" w:space="0" w:color="auto"/>
            </w:tcBorders>
            <w:noWrap/>
            <w:vAlign w:val="center"/>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CEEAV</w:t>
            </w:r>
          </w:p>
        </w:tc>
        <w:tc>
          <w:tcPr>
            <w:tcW w:w="398" w:type="pct"/>
            <w:tcBorders>
              <w:top w:val="nil"/>
              <w:left w:val="nil"/>
              <w:bottom w:val="nil"/>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288</w:t>
            </w:r>
          </w:p>
        </w:tc>
        <w:tc>
          <w:tcPr>
            <w:tcW w:w="3324" w:type="pct"/>
            <w:tcBorders>
              <w:top w:val="nil"/>
              <w:left w:val="nil"/>
              <w:bottom w:val="nil"/>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Atención Integral a las Víctimas del Delito</w:t>
            </w:r>
          </w:p>
        </w:tc>
        <w:tc>
          <w:tcPr>
            <w:tcW w:w="669" w:type="pct"/>
            <w:tcBorders>
              <w:top w:val="nil"/>
              <w:left w:val="nil"/>
              <w:bottom w:val="nil"/>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19,543,756</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single" w:sz="4" w:space="0" w:color="auto"/>
              <w:left w:val="nil"/>
              <w:bottom w:val="single" w:sz="4" w:space="0" w:color="auto"/>
              <w:right w:val="nil"/>
            </w:tcBorders>
            <w:shd w:val="clear" w:color="auto" w:fill="F2F2F2"/>
            <w:noWrap/>
            <w:vAlign w:val="bottom"/>
            <w:hideMark/>
          </w:tcPr>
          <w:p w:rsidR="004850C2" w:rsidRDefault="004850C2">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 </w:t>
            </w:r>
          </w:p>
        </w:tc>
        <w:tc>
          <w:tcPr>
            <w:tcW w:w="3324" w:type="pct"/>
            <w:tcBorders>
              <w:top w:val="single" w:sz="4" w:space="0" w:color="auto"/>
              <w:left w:val="nil"/>
              <w:bottom w:val="single" w:sz="4" w:space="0" w:color="auto"/>
              <w:right w:val="single" w:sz="4" w:space="0" w:color="auto"/>
            </w:tcBorders>
            <w:shd w:val="clear" w:color="auto" w:fill="F2F2F2"/>
            <w:noWrap/>
            <w:vAlign w:val="center"/>
            <w:hideMark/>
          </w:tcPr>
          <w:p w:rsidR="004850C2" w:rsidRDefault="004850C2">
            <w:pPr>
              <w:jc w:val="right"/>
              <w:rPr>
                <w:rFonts w:ascii="Calibri" w:eastAsia="Times New Roman" w:hAnsi="Calibri" w:cs="Times New Roman"/>
                <w:b/>
                <w:bCs/>
                <w:sz w:val="20"/>
                <w:szCs w:val="20"/>
              </w:rPr>
            </w:pPr>
            <w:r>
              <w:rPr>
                <w:rFonts w:ascii="Calibri" w:eastAsia="Times New Roman" w:hAnsi="Calibri" w:cs="Times New Roman"/>
                <w:b/>
                <w:bCs/>
                <w:sz w:val="20"/>
                <w:szCs w:val="20"/>
              </w:rPr>
              <w:t>Subtotal</w:t>
            </w:r>
          </w:p>
        </w:tc>
        <w:tc>
          <w:tcPr>
            <w:tcW w:w="669" w:type="pct"/>
            <w:tcBorders>
              <w:top w:val="single" w:sz="4" w:space="0" w:color="auto"/>
              <w:left w:val="nil"/>
              <w:bottom w:val="single" w:sz="4" w:space="0" w:color="auto"/>
              <w:right w:val="single" w:sz="4" w:space="0" w:color="auto"/>
            </w:tcBorders>
            <w:shd w:val="clear" w:color="auto" w:fill="F2F2F2"/>
            <w:noWrap/>
            <w:hideMark/>
          </w:tcPr>
          <w:p w:rsidR="004850C2" w:rsidRDefault="004850C2">
            <w:pPr>
              <w:jc w:val="right"/>
              <w:rPr>
                <w:rFonts w:ascii="Barlow Medium" w:eastAsia="Times New Roman" w:hAnsi="Barlow Medium" w:cs="Times New Roman"/>
                <w:b/>
                <w:color w:val="000000"/>
                <w:sz w:val="20"/>
                <w:szCs w:val="20"/>
              </w:rPr>
            </w:pPr>
            <w:r>
              <w:rPr>
                <w:rFonts w:ascii="Barlow Medium" w:eastAsia="Times New Roman" w:hAnsi="Barlow Medium" w:cs="Times New Roman"/>
                <w:b/>
                <w:color w:val="000000"/>
                <w:sz w:val="20"/>
                <w:szCs w:val="20"/>
              </w:rPr>
              <w:t>19,543,756</w:t>
            </w:r>
          </w:p>
        </w:tc>
      </w:tr>
      <w:tr w:rsidR="004850C2" w:rsidTr="004850C2">
        <w:trPr>
          <w:trHeight w:val="300"/>
        </w:trPr>
        <w:tc>
          <w:tcPr>
            <w:tcW w:w="609" w:type="pct"/>
            <w:vMerge w:val="restart"/>
            <w:tcBorders>
              <w:top w:val="single" w:sz="4" w:space="0" w:color="auto"/>
              <w:left w:val="single" w:sz="4" w:space="0" w:color="auto"/>
              <w:bottom w:val="single" w:sz="4" w:space="0" w:color="auto"/>
              <w:right w:val="single" w:sz="4" w:space="0" w:color="auto"/>
            </w:tcBorders>
            <w:vAlign w:val="center"/>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CJ</w:t>
            </w: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14</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Asesoría y Defensa Jurídica del Instituto de Defensa Pública del Estado</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31,796,000</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147</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Actualización del Marco Jurídico Estatal</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965,352</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nil"/>
            </w:tcBorders>
            <w:shd w:val="clear" w:color="auto" w:fill="F2F2F2"/>
            <w:noWrap/>
            <w:vAlign w:val="bottom"/>
            <w:hideMark/>
          </w:tcPr>
          <w:p w:rsidR="004850C2" w:rsidRDefault="004850C2">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 </w:t>
            </w:r>
          </w:p>
        </w:tc>
        <w:tc>
          <w:tcPr>
            <w:tcW w:w="3324" w:type="pct"/>
            <w:tcBorders>
              <w:top w:val="nil"/>
              <w:left w:val="nil"/>
              <w:bottom w:val="single" w:sz="4" w:space="0" w:color="auto"/>
              <w:right w:val="single" w:sz="4" w:space="0" w:color="auto"/>
            </w:tcBorders>
            <w:shd w:val="clear" w:color="auto" w:fill="F2F2F2"/>
            <w:noWrap/>
            <w:vAlign w:val="center"/>
            <w:hideMark/>
          </w:tcPr>
          <w:p w:rsidR="004850C2" w:rsidRDefault="004850C2">
            <w:pPr>
              <w:jc w:val="right"/>
              <w:rPr>
                <w:rFonts w:ascii="Calibri" w:eastAsia="Times New Roman" w:hAnsi="Calibri" w:cs="Times New Roman"/>
                <w:b/>
                <w:bCs/>
                <w:sz w:val="20"/>
                <w:szCs w:val="20"/>
              </w:rPr>
            </w:pPr>
            <w:r>
              <w:rPr>
                <w:rFonts w:ascii="Calibri" w:eastAsia="Times New Roman" w:hAnsi="Calibri" w:cs="Times New Roman"/>
                <w:b/>
                <w:bCs/>
                <w:sz w:val="20"/>
                <w:szCs w:val="20"/>
              </w:rPr>
              <w:t>Subtotal</w:t>
            </w:r>
          </w:p>
        </w:tc>
        <w:tc>
          <w:tcPr>
            <w:tcW w:w="669" w:type="pct"/>
            <w:tcBorders>
              <w:top w:val="nil"/>
              <w:left w:val="nil"/>
              <w:bottom w:val="single" w:sz="4" w:space="0" w:color="auto"/>
              <w:right w:val="single" w:sz="4" w:space="0" w:color="auto"/>
            </w:tcBorders>
            <w:shd w:val="clear" w:color="auto" w:fill="F2F2F2"/>
            <w:noWrap/>
            <w:hideMark/>
          </w:tcPr>
          <w:p w:rsidR="004850C2" w:rsidRDefault="004850C2">
            <w:pPr>
              <w:jc w:val="right"/>
              <w:rPr>
                <w:rFonts w:ascii="Barlow Medium" w:eastAsia="Times New Roman" w:hAnsi="Barlow Medium" w:cs="Times New Roman"/>
                <w:b/>
                <w:color w:val="000000"/>
                <w:sz w:val="20"/>
                <w:szCs w:val="20"/>
              </w:rPr>
            </w:pPr>
            <w:r>
              <w:rPr>
                <w:rFonts w:ascii="Barlow Medium" w:eastAsia="Times New Roman" w:hAnsi="Barlow Medium" w:cs="Times New Roman"/>
                <w:b/>
                <w:color w:val="000000"/>
                <w:sz w:val="20"/>
                <w:szCs w:val="20"/>
              </w:rPr>
              <w:t>32,761,352</w:t>
            </w:r>
          </w:p>
        </w:tc>
      </w:tr>
      <w:tr w:rsidR="004850C2" w:rsidTr="004850C2">
        <w:trPr>
          <w:trHeight w:val="540"/>
        </w:trPr>
        <w:tc>
          <w:tcPr>
            <w:tcW w:w="609" w:type="pct"/>
            <w:vMerge w:val="restart"/>
            <w:tcBorders>
              <w:top w:val="single" w:sz="4" w:space="0" w:color="auto"/>
              <w:left w:val="single" w:sz="4" w:space="0" w:color="auto"/>
              <w:bottom w:val="single" w:sz="4" w:space="0" w:color="auto"/>
              <w:right w:val="single" w:sz="4" w:space="0" w:color="auto"/>
            </w:tcBorders>
            <w:noWrap/>
            <w:vAlign w:val="center"/>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FGE</w:t>
            </w: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119</w:t>
            </w:r>
          </w:p>
        </w:tc>
        <w:tc>
          <w:tcPr>
            <w:tcW w:w="3324" w:type="pct"/>
            <w:tcBorders>
              <w:top w:val="nil"/>
              <w:left w:val="nil"/>
              <w:bottom w:val="single" w:sz="4" w:space="0" w:color="auto"/>
              <w:right w:val="single" w:sz="4" w:space="0" w:color="auto"/>
            </w:tcBorders>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Aplicación de los Mecanismos Alternativos de Solución de Controversias</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295,004</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120</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Fortalecimiento de la Confianza Ciudadana en la Procuración de Justicia</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387,006</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121</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Sistema de Justicia Penal</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19,643,361</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289</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Atención Integral a las Mujeres Víctimas de Violencia</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12,706,789</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nil"/>
            </w:tcBorders>
            <w:shd w:val="clear" w:color="auto" w:fill="F2F2F2"/>
            <w:noWrap/>
            <w:vAlign w:val="bottom"/>
            <w:hideMark/>
          </w:tcPr>
          <w:p w:rsidR="004850C2" w:rsidRDefault="004850C2">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 </w:t>
            </w:r>
          </w:p>
        </w:tc>
        <w:tc>
          <w:tcPr>
            <w:tcW w:w="3324" w:type="pct"/>
            <w:tcBorders>
              <w:top w:val="nil"/>
              <w:left w:val="nil"/>
              <w:bottom w:val="single" w:sz="4" w:space="0" w:color="auto"/>
              <w:right w:val="single" w:sz="4" w:space="0" w:color="auto"/>
            </w:tcBorders>
            <w:shd w:val="clear" w:color="auto" w:fill="F2F2F2"/>
            <w:noWrap/>
            <w:vAlign w:val="center"/>
            <w:hideMark/>
          </w:tcPr>
          <w:p w:rsidR="004850C2" w:rsidRDefault="004850C2">
            <w:pPr>
              <w:jc w:val="right"/>
              <w:rPr>
                <w:rFonts w:ascii="Calibri" w:eastAsia="Times New Roman" w:hAnsi="Calibri" w:cs="Times New Roman"/>
                <w:b/>
                <w:bCs/>
                <w:sz w:val="20"/>
                <w:szCs w:val="20"/>
              </w:rPr>
            </w:pPr>
            <w:r>
              <w:rPr>
                <w:rFonts w:ascii="Calibri" w:eastAsia="Times New Roman" w:hAnsi="Calibri" w:cs="Times New Roman"/>
                <w:b/>
                <w:bCs/>
                <w:sz w:val="20"/>
                <w:szCs w:val="20"/>
              </w:rPr>
              <w:t>Subtotal</w:t>
            </w:r>
          </w:p>
        </w:tc>
        <w:tc>
          <w:tcPr>
            <w:tcW w:w="669" w:type="pct"/>
            <w:tcBorders>
              <w:top w:val="nil"/>
              <w:left w:val="nil"/>
              <w:bottom w:val="single" w:sz="4" w:space="0" w:color="auto"/>
              <w:right w:val="single" w:sz="4" w:space="0" w:color="auto"/>
            </w:tcBorders>
            <w:shd w:val="clear" w:color="auto" w:fill="F2F2F2"/>
            <w:noWrap/>
            <w:hideMark/>
          </w:tcPr>
          <w:p w:rsidR="004850C2" w:rsidRDefault="004850C2">
            <w:pPr>
              <w:jc w:val="right"/>
              <w:rPr>
                <w:rFonts w:ascii="Barlow Medium" w:eastAsia="Times New Roman" w:hAnsi="Barlow Medium" w:cs="Times New Roman"/>
                <w:b/>
                <w:color w:val="000000"/>
                <w:sz w:val="20"/>
                <w:szCs w:val="20"/>
              </w:rPr>
            </w:pPr>
            <w:r>
              <w:rPr>
                <w:rFonts w:ascii="Barlow Medium" w:eastAsia="Times New Roman" w:hAnsi="Barlow Medium" w:cs="Times New Roman"/>
                <w:b/>
                <w:color w:val="000000"/>
                <w:sz w:val="20"/>
                <w:szCs w:val="20"/>
              </w:rPr>
              <w:t>33,032,160</w:t>
            </w:r>
          </w:p>
        </w:tc>
      </w:tr>
      <w:tr w:rsidR="004850C2" w:rsidTr="004850C2">
        <w:trPr>
          <w:trHeight w:val="300"/>
        </w:trPr>
        <w:tc>
          <w:tcPr>
            <w:tcW w:w="609" w:type="pct"/>
            <w:vMerge w:val="restart"/>
            <w:tcBorders>
              <w:top w:val="single" w:sz="4" w:space="0" w:color="auto"/>
              <w:left w:val="single" w:sz="4" w:space="0" w:color="auto"/>
              <w:bottom w:val="single" w:sz="4" w:space="0" w:color="auto"/>
              <w:right w:val="single" w:sz="4" w:space="0" w:color="auto"/>
            </w:tcBorders>
            <w:vAlign w:val="center"/>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SSP</w:t>
            </w: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121</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Sistema de Justicia Penal</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1,981,349</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single" w:sz="4" w:space="0" w:color="auto"/>
            </w:tcBorders>
            <w:noWrap/>
            <w:vAlign w:val="bottom"/>
            <w:hideMark/>
          </w:tcPr>
          <w:p w:rsidR="004850C2" w:rsidRDefault="004850C2">
            <w:pPr>
              <w:jc w:val="cente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170</w:t>
            </w:r>
          </w:p>
        </w:tc>
        <w:tc>
          <w:tcPr>
            <w:tcW w:w="3324" w:type="pct"/>
            <w:tcBorders>
              <w:top w:val="nil"/>
              <w:left w:val="nil"/>
              <w:bottom w:val="single" w:sz="4" w:space="0" w:color="auto"/>
              <w:right w:val="single" w:sz="4" w:space="0" w:color="auto"/>
            </w:tcBorders>
            <w:noWrap/>
            <w:vAlign w:val="bottom"/>
            <w:hideMark/>
          </w:tcPr>
          <w:p w:rsidR="004850C2" w:rsidRDefault="004850C2">
            <w:pPr>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Profesionalización de los Elementos Policiacos del Estado</w:t>
            </w:r>
          </w:p>
        </w:tc>
        <w:tc>
          <w:tcPr>
            <w:tcW w:w="669" w:type="pct"/>
            <w:tcBorders>
              <w:top w:val="nil"/>
              <w:left w:val="nil"/>
              <w:bottom w:val="single" w:sz="4" w:space="0" w:color="auto"/>
              <w:right w:val="single" w:sz="4" w:space="0" w:color="auto"/>
            </w:tcBorders>
            <w:noWrap/>
            <w:vAlign w:val="bottom"/>
            <w:hideMark/>
          </w:tcPr>
          <w:p w:rsidR="004850C2" w:rsidRDefault="004850C2">
            <w:pPr>
              <w:jc w:val="right"/>
              <w:rPr>
                <w:rFonts w:ascii="Barlow Medium" w:eastAsia="Times New Roman" w:hAnsi="Barlow Medium" w:cs="Times New Roman"/>
                <w:color w:val="000000"/>
                <w:sz w:val="20"/>
                <w:szCs w:val="20"/>
              </w:rPr>
            </w:pPr>
            <w:r>
              <w:rPr>
                <w:rFonts w:ascii="Barlow Medium" w:eastAsia="Times New Roman" w:hAnsi="Barlow Medium" w:cs="Times New Roman"/>
                <w:color w:val="000000"/>
                <w:sz w:val="20"/>
                <w:szCs w:val="20"/>
              </w:rPr>
              <w:t>5,294,808</w:t>
            </w:r>
          </w:p>
        </w:tc>
      </w:tr>
      <w:tr w:rsidR="004850C2" w:rsidTr="004850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50C2" w:rsidRDefault="004850C2">
            <w:pPr>
              <w:rPr>
                <w:rFonts w:ascii="Barlow Medium" w:eastAsia="Times New Roman" w:hAnsi="Barlow Medium" w:cs="Times New Roman"/>
                <w:color w:val="000000"/>
                <w:sz w:val="20"/>
                <w:szCs w:val="20"/>
                <w:lang w:eastAsia="es-MX"/>
              </w:rPr>
            </w:pPr>
          </w:p>
        </w:tc>
        <w:tc>
          <w:tcPr>
            <w:tcW w:w="398" w:type="pct"/>
            <w:tcBorders>
              <w:top w:val="nil"/>
              <w:left w:val="nil"/>
              <w:bottom w:val="single" w:sz="4" w:space="0" w:color="auto"/>
              <w:right w:val="nil"/>
            </w:tcBorders>
            <w:shd w:val="clear" w:color="auto" w:fill="F2F2F2"/>
            <w:noWrap/>
            <w:vAlign w:val="bottom"/>
            <w:hideMark/>
          </w:tcPr>
          <w:p w:rsidR="004850C2" w:rsidRDefault="004850C2">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 </w:t>
            </w:r>
          </w:p>
        </w:tc>
        <w:tc>
          <w:tcPr>
            <w:tcW w:w="3324" w:type="pct"/>
            <w:tcBorders>
              <w:top w:val="nil"/>
              <w:left w:val="nil"/>
              <w:bottom w:val="single" w:sz="4" w:space="0" w:color="auto"/>
              <w:right w:val="single" w:sz="4" w:space="0" w:color="auto"/>
            </w:tcBorders>
            <w:shd w:val="clear" w:color="auto" w:fill="F2F2F2"/>
            <w:noWrap/>
            <w:vAlign w:val="center"/>
            <w:hideMark/>
          </w:tcPr>
          <w:p w:rsidR="004850C2" w:rsidRDefault="004850C2">
            <w:pPr>
              <w:jc w:val="right"/>
              <w:rPr>
                <w:rFonts w:ascii="Calibri" w:eastAsia="Times New Roman" w:hAnsi="Calibri" w:cs="Times New Roman"/>
                <w:b/>
                <w:bCs/>
                <w:sz w:val="20"/>
                <w:szCs w:val="20"/>
              </w:rPr>
            </w:pPr>
            <w:r>
              <w:rPr>
                <w:rFonts w:ascii="Calibri" w:eastAsia="Times New Roman" w:hAnsi="Calibri" w:cs="Times New Roman"/>
                <w:b/>
                <w:bCs/>
                <w:sz w:val="20"/>
                <w:szCs w:val="20"/>
              </w:rPr>
              <w:t>Subtotal</w:t>
            </w:r>
          </w:p>
        </w:tc>
        <w:tc>
          <w:tcPr>
            <w:tcW w:w="669" w:type="pct"/>
            <w:tcBorders>
              <w:top w:val="nil"/>
              <w:left w:val="nil"/>
              <w:bottom w:val="single" w:sz="4" w:space="0" w:color="auto"/>
              <w:right w:val="single" w:sz="4" w:space="0" w:color="auto"/>
            </w:tcBorders>
            <w:shd w:val="clear" w:color="auto" w:fill="F2F2F2"/>
            <w:noWrap/>
            <w:hideMark/>
          </w:tcPr>
          <w:p w:rsidR="004850C2" w:rsidRDefault="004850C2">
            <w:pPr>
              <w:jc w:val="right"/>
              <w:rPr>
                <w:rFonts w:ascii="Barlow Medium" w:eastAsia="Times New Roman" w:hAnsi="Barlow Medium" w:cs="Times New Roman"/>
                <w:b/>
                <w:color w:val="000000"/>
                <w:sz w:val="20"/>
                <w:szCs w:val="20"/>
              </w:rPr>
            </w:pPr>
            <w:r>
              <w:rPr>
                <w:rFonts w:ascii="Barlow Medium" w:eastAsia="Times New Roman" w:hAnsi="Barlow Medium" w:cs="Times New Roman"/>
                <w:b/>
                <w:color w:val="000000"/>
                <w:sz w:val="20"/>
                <w:szCs w:val="20"/>
              </w:rPr>
              <w:t>7,276,157</w:t>
            </w:r>
          </w:p>
        </w:tc>
      </w:tr>
      <w:tr w:rsidR="004850C2" w:rsidTr="004850C2">
        <w:trPr>
          <w:trHeight w:val="525"/>
        </w:trPr>
        <w:tc>
          <w:tcPr>
            <w:tcW w:w="609" w:type="pct"/>
            <w:tcBorders>
              <w:top w:val="single" w:sz="4" w:space="0" w:color="auto"/>
              <w:left w:val="single" w:sz="4" w:space="0" w:color="auto"/>
              <w:bottom w:val="single" w:sz="4" w:space="0" w:color="auto"/>
              <w:right w:val="nil"/>
            </w:tcBorders>
            <w:shd w:val="clear" w:color="auto" w:fill="F2F2F2"/>
            <w:noWrap/>
            <w:vAlign w:val="bottom"/>
            <w:hideMark/>
          </w:tcPr>
          <w:p w:rsidR="004850C2" w:rsidRDefault="004850C2">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 </w:t>
            </w:r>
          </w:p>
        </w:tc>
        <w:tc>
          <w:tcPr>
            <w:tcW w:w="3722" w:type="pct"/>
            <w:gridSpan w:val="2"/>
            <w:tcBorders>
              <w:top w:val="single" w:sz="4" w:space="0" w:color="auto"/>
              <w:left w:val="nil"/>
              <w:bottom w:val="single" w:sz="4" w:space="0" w:color="auto"/>
              <w:right w:val="single" w:sz="4" w:space="0" w:color="000000"/>
            </w:tcBorders>
            <w:shd w:val="clear" w:color="auto" w:fill="F2F2F2"/>
            <w:noWrap/>
            <w:vAlign w:val="center"/>
            <w:hideMark/>
          </w:tcPr>
          <w:p w:rsidR="004850C2" w:rsidRDefault="004850C2">
            <w:pPr>
              <w:jc w:val="right"/>
              <w:rPr>
                <w:rFonts w:ascii="Arial" w:eastAsia="Times New Roman" w:hAnsi="Arial" w:cs="Arial"/>
                <w:b/>
                <w:bCs/>
                <w:sz w:val="20"/>
                <w:szCs w:val="20"/>
              </w:rPr>
            </w:pPr>
            <w:r>
              <w:rPr>
                <w:rFonts w:ascii="Arial" w:eastAsia="Times New Roman" w:hAnsi="Arial" w:cs="Arial"/>
                <w:b/>
                <w:bCs/>
                <w:sz w:val="20"/>
                <w:szCs w:val="20"/>
              </w:rPr>
              <w:t>Total</w:t>
            </w:r>
          </w:p>
        </w:tc>
        <w:tc>
          <w:tcPr>
            <w:tcW w:w="669" w:type="pct"/>
            <w:tcBorders>
              <w:top w:val="nil"/>
              <w:left w:val="nil"/>
              <w:bottom w:val="single" w:sz="4" w:space="0" w:color="auto"/>
              <w:right w:val="single" w:sz="4" w:space="0" w:color="auto"/>
            </w:tcBorders>
            <w:shd w:val="clear" w:color="auto" w:fill="F2F2F2"/>
            <w:noWrap/>
            <w:vAlign w:val="center"/>
            <w:hideMark/>
          </w:tcPr>
          <w:p w:rsidR="004850C2" w:rsidRDefault="004850C2">
            <w:pPr>
              <w:jc w:val="right"/>
              <w:rPr>
                <w:rFonts w:ascii="Barlow Medium" w:eastAsia="Times New Roman" w:hAnsi="Barlow Medium" w:cs="Times New Roman"/>
                <w:b/>
                <w:sz w:val="20"/>
                <w:szCs w:val="20"/>
              </w:rPr>
            </w:pPr>
            <w:r>
              <w:rPr>
                <w:rFonts w:ascii="Barlow Medium" w:eastAsia="Times New Roman" w:hAnsi="Barlow Medium" w:cs="Times New Roman"/>
                <w:b/>
                <w:sz w:val="20"/>
                <w:szCs w:val="20"/>
              </w:rPr>
              <w:t>92,613,425</w:t>
            </w:r>
          </w:p>
        </w:tc>
      </w:tr>
    </w:tbl>
    <w:p w:rsidR="004850C2" w:rsidRDefault="004850C2" w:rsidP="004850C2">
      <w:pPr>
        <w:jc w:val="center"/>
        <w:rPr>
          <w:rFonts w:ascii="Barlow Medium" w:eastAsiaTheme="minorHAnsi" w:hAnsi="Barlow Medium" w:cs="Arial"/>
          <w:b/>
          <w:lang w:eastAsia="en-US"/>
        </w:rPr>
      </w:pPr>
      <w:r>
        <w:rPr>
          <w:rFonts w:ascii="Barlow Medium" w:hAnsi="Barlow Medium" w:cs="Arial"/>
        </w:rPr>
        <w:br w:type="page"/>
      </w:r>
      <w:r>
        <w:rPr>
          <w:rFonts w:ascii="Barlow Medium" w:eastAsiaTheme="minorHAnsi" w:hAnsi="Barlow Medium" w:cs="Arial"/>
          <w:b/>
          <w:lang w:eastAsia="en-US"/>
        </w:rPr>
        <w:lastRenderedPageBreak/>
        <w:t>Anexo 16f</w:t>
      </w: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Anexo de Asignaciones Presupuestales para la Igualdad entre Mujeres y Hombres</w:t>
      </w:r>
    </w:p>
    <w:p w:rsidR="004850C2" w:rsidRDefault="004850C2" w:rsidP="004850C2">
      <w:pPr>
        <w:jc w:val="both"/>
        <w:rPr>
          <w:rFonts w:ascii="Barlow Medium" w:eastAsiaTheme="minorHAnsi" w:hAnsi="Barlow Medium" w:cs="Arial"/>
          <w:lang w:eastAsia="en-US"/>
        </w:rPr>
      </w:pPr>
    </w:p>
    <w:p w:rsidR="004850C2" w:rsidRDefault="004850C2" w:rsidP="004850C2">
      <w:pPr>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 xml:space="preserve">Este anexo tiene como objetivo servir como herramienta de análisis para mejorar la transparencia del presupuesto al visibilizar los montos de inversión que se presupuestan en materia de igualdad entre mujeres y hombres. </w:t>
      </w:r>
    </w:p>
    <w:p w:rsidR="004850C2" w:rsidRDefault="004850C2" w:rsidP="004850C2">
      <w:pPr>
        <w:shd w:val="clear" w:color="auto" w:fill="FFFFFF"/>
        <w:spacing w:before="100" w:beforeAutospacing="1" w:after="100" w:afterAutospacing="1"/>
        <w:jc w:val="both"/>
        <w:rPr>
          <w:rFonts w:ascii="Barlow Medium" w:eastAsia="Times New Roman" w:hAnsi="Barlow Medium" w:cs="Arial"/>
          <w:b/>
          <w:color w:val="222222"/>
          <w:lang w:eastAsia="es-MX"/>
        </w:rPr>
      </w:pPr>
      <w:r>
        <w:rPr>
          <w:rFonts w:ascii="Barlow Medium" w:eastAsia="Times New Roman" w:hAnsi="Barlow Medium" w:cs="Arial"/>
          <w:b/>
          <w:color w:val="222222"/>
        </w:rPr>
        <w:t xml:space="preserve">Metodología </w:t>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 xml:space="preserve">El primer paso para la elaboración de este anexo consistió en tomar como elemento de análisis la Unidad Básica de Presupuestación (UBP). Ésta es el instrumento de programación de corto plazo que se utiliza para presupuestar los componentes de los programas presupuestarios, en los que se establecen para el año fiscal los objetivos, las metas de producción, las actividades y el presupuesto destinado para producir los bienes, servicios, subsidios, ayudas, actividades institucionales o los servicios personales. </w:t>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 xml:space="preserve">Se revisaron los principales elementos de la UBP, identificando palabras como igualdad, equidad, género, mujeres, niñas, perspectiva de género, violencia contra las mujeres, entre otras que pudieran dar como referencia la atención a las mujeres, además de acciones para reducir brechas y que contribuyan a la igualdad. </w:t>
      </w: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En este ejercicio no se consideraron las UBP que consideran los gastos generales de las oficinas tales como suministro de servicios básicos, arrendamientos, entre otros, ya que no tienen impacto en la igualdad entre mujeres y hombres.</w:t>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lang w:eastAsia="es-MX"/>
        </w:rPr>
      </w:pPr>
      <w:r>
        <w:rPr>
          <w:rFonts w:ascii="Barlow Medium" w:eastAsia="Times New Roman" w:hAnsi="Barlow Medium" w:cs="Arial"/>
          <w:color w:val="222222"/>
        </w:rPr>
        <w:t>Posteriormente, las UBP seleccionadas se agruparon a partir de los derechos humanos de las mujeres, tomando como base la clasificación promovida por el Instituto Nacional de las Mujeres, sustentada en los ordenamientos legislativos vigentes en México</w:t>
      </w:r>
      <w:r>
        <w:rPr>
          <w:rFonts w:ascii="Barlow Medium" w:eastAsia="Times New Roman" w:hAnsi="Barlow Medium" w:cs="Arial"/>
          <w:color w:val="222222"/>
          <w:vertAlign w:val="superscript"/>
        </w:rPr>
        <w:footnoteReference w:id="12"/>
      </w:r>
      <w:r>
        <w:rPr>
          <w:rFonts w:ascii="Barlow Medium" w:eastAsia="Times New Roman" w:hAnsi="Barlow Medium" w:cs="Arial"/>
          <w:color w:val="222222"/>
        </w:rPr>
        <w:t>. Para cada derecho, se identificaron temas específicos que permitieron conceptualizarlos para tener una mayor claridad del ámbito de actuación de cada uno.</w:t>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A continuación se presenta cada uno de los derechos con sus respectivos temas y conceptualizaciones.</w:t>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rPr>
      </w:pPr>
    </w:p>
    <w:p w:rsidR="004850C2" w:rsidRDefault="004850C2" w:rsidP="004850C2">
      <w:pPr>
        <w:shd w:val="clear" w:color="auto" w:fill="FFFFFF"/>
        <w:spacing w:before="100" w:beforeAutospacing="1"/>
        <w:contextualSpacing/>
        <w:jc w:val="center"/>
        <w:rPr>
          <w:rFonts w:ascii="Barlow Medium" w:eastAsia="Times New Roman" w:hAnsi="Barlow Medium" w:cs="Arial"/>
          <w:b/>
          <w:color w:val="222222"/>
        </w:rPr>
      </w:pPr>
      <w:r>
        <w:rPr>
          <w:rFonts w:ascii="Barlow Medium" w:eastAsia="Times New Roman" w:hAnsi="Barlow Medium" w:cs="Arial"/>
          <w:b/>
          <w:color w:val="222222"/>
        </w:rPr>
        <w:lastRenderedPageBreak/>
        <w:t>Derechos humanos de las mujeres</w:t>
      </w: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rPr>
      </w:pPr>
    </w:p>
    <w:tbl>
      <w:tblPr>
        <w:tblW w:w="8789" w:type="dxa"/>
        <w:jc w:val="center"/>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1522"/>
        <w:gridCol w:w="7267"/>
      </w:tblGrid>
      <w:tr w:rsidR="004850C2" w:rsidTr="004850C2">
        <w:trPr>
          <w:trHeight w:val="315"/>
          <w:jc w:val="center"/>
        </w:trPr>
        <w:tc>
          <w:tcPr>
            <w:tcW w:w="8789" w:type="dxa"/>
            <w:gridSpan w:val="2"/>
            <w:tcBorders>
              <w:top w:val="single" w:sz="8" w:space="0" w:color="auto"/>
              <w:left w:val="single" w:sz="8" w:space="0" w:color="auto"/>
              <w:bottom w:val="single" w:sz="8" w:space="0" w:color="auto"/>
              <w:right w:val="single" w:sz="8" w:space="0" w:color="auto"/>
            </w:tcBorders>
            <w:shd w:val="clear" w:color="auto" w:fill="1B1D3D" w:themeFill="text2" w:themeFillShade="BF"/>
            <w:hideMark/>
          </w:tcPr>
          <w:p w:rsidR="004850C2" w:rsidRDefault="004850C2">
            <w:pPr>
              <w:jc w:val="center"/>
              <w:rPr>
                <w:rFonts w:ascii="Barlow Medium" w:eastAsia="Times New Roman" w:hAnsi="Barlow Medium" w:cs="Arial"/>
                <w:bCs/>
                <w:color w:val="FFFFFF"/>
                <w:sz w:val="20"/>
                <w:szCs w:val="20"/>
              </w:rPr>
            </w:pPr>
            <w:r>
              <w:rPr>
                <w:rFonts w:ascii="Barlow Medium" w:eastAsia="Times New Roman" w:hAnsi="Barlow Medium" w:cs="Arial"/>
                <w:bCs/>
                <w:sz w:val="20"/>
                <w:szCs w:val="20"/>
              </w:rPr>
              <w:t>Derecho a la educación</w:t>
            </w:r>
          </w:p>
        </w:tc>
      </w:tr>
      <w:tr w:rsidR="004850C2" w:rsidTr="004850C2">
        <w:trPr>
          <w:trHeight w:val="1974"/>
          <w:jc w:val="center"/>
        </w:trPr>
        <w:tc>
          <w:tcPr>
            <w:tcW w:w="1522" w:type="dxa"/>
            <w:tcBorders>
              <w:top w:val="single" w:sz="8" w:space="0" w:color="auto"/>
              <w:left w:val="single" w:sz="8" w:space="0" w:color="auto"/>
              <w:bottom w:val="single" w:sz="8" w:space="0" w:color="auto"/>
              <w:right w:val="nil"/>
            </w:tcBorders>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Acceso</w:t>
            </w:r>
          </w:p>
        </w:tc>
        <w:tc>
          <w:tcPr>
            <w:tcW w:w="7267" w:type="dxa"/>
            <w:tcBorders>
              <w:top w:val="single" w:sz="8" w:space="0" w:color="auto"/>
              <w:left w:val="nil"/>
              <w:bottom w:val="single" w:sz="8" w:space="0" w:color="auto"/>
              <w:right w:val="single" w:sz="8" w:space="0" w:color="auto"/>
            </w:tcBorders>
            <w:hideMark/>
          </w:tcPr>
          <w:p w:rsidR="004850C2" w:rsidRDefault="004850C2">
            <w:pPr>
              <w:rPr>
                <w:rFonts w:ascii="Barlow Medium" w:eastAsia="Times New Roman" w:hAnsi="Barlow Medium" w:cs="Arial"/>
                <w:bCs/>
                <w:color w:val="000000"/>
                <w:sz w:val="20"/>
                <w:szCs w:val="20"/>
              </w:rPr>
            </w:pPr>
            <w:r>
              <w:rPr>
                <w:rFonts w:ascii="Barlow Medium" w:eastAsia="Times New Roman" w:hAnsi="Barlow Medium" w:cs="Arial"/>
                <w:color w:val="222222"/>
                <w:sz w:val="20"/>
                <w:szCs w:val="20"/>
              </w:rPr>
              <w:t xml:space="preserve">Son las acciones enfocadas a asegurar: </w:t>
            </w:r>
            <w:r>
              <w:rPr>
                <w:rFonts w:ascii="Barlow Medium" w:eastAsia="Times New Roman" w:hAnsi="Barlow Medium" w:cs="Arial"/>
                <w:color w:val="222222"/>
                <w:sz w:val="20"/>
                <w:szCs w:val="20"/>
              </w:rPr>
              <w:br/>
              <w:t xml:space="preserve">- La admisión de todos y todas, garantizando la no discriminación por género. </w:t>
            </w:r>
            <w:r>
              <w:rPr>
                <w:rFonts w:ascii="Barlow Medium" w:eastAsia="Times New Roman" w:hAnsi="Barlow Medium" w:cs="Arial"/>
                <w:color w:val="222222"/>
                <w:sz w:val="20"/>
                <w:szCs w:val="20"/>
              </w:rPr>
              <w:br/>
              <w:t xml:space="preserve">- Accesibilidad material, es decir, que el servicio educativo esté disponible para todas las personas que lo soliciten.  </w:t>
            </w:r>
            <w:r>
              <w:rPr>
                <w:rFonts w:ascii="Barlow Medium" w:eastAsia="Times New Roman" w:hAnsi="Barlow Medium" w:cs="Arial"/>
                <w:color w:val="222222"/>
                <w:sz w:val="20"/>
                <w:szCs w:val="20"/>
              </w:rPr>
              <w:br/>
              <w:t>- Accesibilidad económica, que existan los medios para estudiar independientemente del nivel de ingresos.</w:t>
            </w:r>
          </w:p>
        </w:tc>
      </w:tr>
      <w:tr w:rsidR="004850C2" w:rsidTr="004850C2">
        <w:trPr>
          <w:trHeight w:val="1350"/>
          <w:jc w:val="center"/>
        </w:trPr>
        <w:tc>
          <w:tcPr>
            <w:tcW w:w="1522" w:type="dxa"/>
            <w:tcBorders>
              <w:top w:val="single" w:sz="8" w:space="0" w:color="auto"/>
              <w:left w:val="single" w:sz="8" w:space="0" w:color="auto"/>
              <w:bottom w:val="single" w:sz="8" w:space="0" w:color="auto"/>
              <w:right w:val="nil"/>
            </w:tcBorders>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Permanencia</w:t>
            </w:r>
          </w:p>
        </w:tc>
        <w:tc>
          <w:tcPr>
            <w:tcW w:w="726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Se refiere a las acciones encaminadas a garantizar que los y las estudiantes puedan continuar sus estudios hasta su conclusión, contando con todos los servicios de apoyo que disminuyan la deserción, tales como orientación vocacional, tutorías, trabajo social, atención psicológica, entre otros.</w:t>
            </w:r>
          </w:p>
        </w:tc>
      </w:tr>
      <w:tr w:rsidR="004850C2" w:rsidTr="004850C2">
        <w:trPr>
          <w:trHeight w:val="2139"/>
          <w:jc w:val="center"/>
        </w:trPr>
        <w:tc>
          <w:tcPr>
            <w:tcW w:w="1522" w:type="dxa"/>
            <w:tcBorders>
              <w:top w:val="single" w:sz="8" w:space="0" w:color="auto"/>
              <w:left w:val="single" w:sz="8" w:space="0" w:color="auto"/>
              <w:bottom w:val="single" w:sz="8" w:space="0" w:color="auto"/>
              <w:right w:val="nil"/>
            </w:tcBorders>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Calidad</w:t>
            </w:r>
          </w:p>
        </w:tc>
        <w:tc>
          <w:tcPr>
            <w:tcW w:w="7267" w:type="dxa"/>
            <w:tcBorders>
              <w:top w:val="single" w:sz="8" w:space="0" w:color="auto"/>
              <w:left w:val="nil"/>
              <w:bottom w:val="single" w:sz="8" w:space="0" w:color="auto"/>
              <w:right w:val="single" w:sz="8" w:space="0" w:color="auto"/>
            </w:tcBorders>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Se refiere a las intervenciones que contribuyen a que las instituciones y programas estén disponibles en cantidad suficiente y cuenten con instalaciones sanitarias para ambos sexos, agua potable, docentes calificados con salarios competitivos, materiales de enseñanza, bibliotecas, servicios de informática, y tecnologías de la información. Incluye el cuidado de la forma y el fondo de los programas de estudio y el uso de métodos pedagógicos pertinentes, adecuados culturalmente y que incorporen la perspectiva de género.</w:t>
            </w:r>
          </w:p>
        </w:tc>
      </w:tr>
      <w:tr w:rsidR="004850C2" w:rsidTr="004850C2">
        <w:trPr>
          <w:trHeight w:val="1080"/>
          <w:jc w:val="center"/>
        </w:trPr>
        <w:tc>
          <w:tcPr>
            <w:tcW w:w="1522" w:type="dxa"/>
            <w:tcBorders>
              <w:top w:val="single" w:sz="8" w:space="0" w:color="auto"/>
              <w:left w:val="single" w:sz="8" w:space="0" w:color="auto"/>
              <w:bottom w:val="single" w:sz="8" w:space="0" w:color="auto"/>
              <w:right w:val="nil"/>
            </w:tcBorders>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Inclusión</w:t>
            </w:r>
          </w:p>
        </w:tc>
        <w:tc>
          <w:tcPr>
            <w:tcW w:w="726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Garantizar que ninguna persona sea excluida como sujeto de la educación, dentro y fuera del sistema escolar por motivos de género, edad, etnia, lengua, ideología, credo, nivel socioeconómico, lugar de residencia o condición de salud.</w:t>
            </w:r>
          </w:p>
        </w:tc>
      </w:tr>
      <w:tr w:rsidR="004850C2" w:rsidTr="004850C2">
        <w:trPr>
          <w:trHeight w:val="810"/>
          <w:jc w:val="center"/>
        </w:trPr>
        <w:tc>
          <w:tcPr>
            <w:tcW w:w="1522" w:type="dxa"/>
            <w:tcBorders>
              <w:top w:val="single" w:sz="8" w:space="0" w:color="auto"/>
              <w:left w:val="single" w:sz="8" w:space="0" w:color="auto"/>
              <w:bottom w:val="single" w:sz="8" w:space="0" w:color="auto"/>
              <w:right w:val="nil"/>
            </w:tcBorders>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Educación formal para el trabajo de las mujeres</w:t>
            </w:r>
          </w:p>
        </w:tc>
        <w:tc>
          <w:tcPr>
            <w:tcW w:w="726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Son las acciones que, en el marco del sistema educativo formal, proporcionan conocimientos y habilidades que permitan a las mujeres tener mejores oportunidades para acceder al mercado laboral.</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tbl>
      <w:tblPr>
        <w:tblW w:w="8808" w:type="dxa"/>
        <w:jc w:val="center"/>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1561"/>
        <w:gridCol w:w="7247"/>
      </w:tblGrid>
      <w:tr w:rsidR="004850C2" w:rsidTr="004850C2">
        <w:trPr>
          <w:trHeight w:val="300"/>
          <w:tblHeader/>
          <w:jc w:val="center"/>
        </w:trPr>
        <w:tc>
          <w:tcPr>
            <w:tcW w:w="8808" w:type="dxa"/>
            <w:gridSpan w:val="2"/>
            <w:tcBorders>
              <w:top w:val="single" w:sz="8" w:space="0" w:color="auto"/>
              <w:left w:val="single" w:sz="8" w:space="0" w:color="auto"/>
              <w:bottom w:val="single" w:sz="8" w:space="0" w:color="auto"/>
              <w:right w:val="single" w:sz="8" w:space="0" w:color="auto"/>
            </w:tcBorders>
            <w:shd w:val="clear" w:color="auto" w:fill="1B1D3D" w:themeFill="text2" w:themeFillShade="BF"/>
            <w:noWrap/>
            <w:hideMark/>
          </w:tcPr>
          <w:p w:rsidR="004850C2" w:rsidRDefault="004850C2">
            <w:pPr>
              <w:jc w:val="center"/>
              <w:rPr>
                <w:rFonts w:ascii="Barlow Medium" w:eastAsia="Times New Roman" w:hAnsi="Barlow Medium" w:cs="Arial"/>
                <w:color w:val="FFFFFF"/>
                <w:sz w:val="20"/>
                <w:szCs w:val="20"/>
              </w:rPr>
            </w:pPr>
            <w:r>
              <w:rPr>
                <w:rFonts w:ascii="Barlow Medium" w:eastAsia="Times New Roman" w:hAnsi="Barlow Medium" w:cs="Arial"/>
                <w:sz w:val="20"/>
                <w:szCs w:val="20"/>
              </w:rPr>
              <w:t>Derecho a la salud</w:t>
            </w:r>
          </w:p>
        </w:tc>
      </w:tr>
      <w:tr w:rsidR="004850C2" w:rsidTr="004850C2">
        <w:trPr>
          <w:trHeight w:val="315"/>
          <w:jc w:val="center"/>
        </w:trPr>
        <w:tc>
          <w:tcPr>
            <w:tcW w:w="156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Acceso a servicios de salud de calidad</w:t>
            </w:r>
          </w:p>
        </w:tc>
        <w:tc>
          <w:tcPr>
            <w:tcW w:w="724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 refiere a las intervenciones que garantizan que los servicios de salud sean universales, sin importar el sexo, edad, etnia, lengua, ideología, credo, orientación sexual, nivel socioeconómico o lugar de residencia; además, que cuenten con calidad en las dimensiones técnica, seguridad del paciente y organizacional. Otra característica es que estén disponibles para todas las personas que lo soliciten.</w:t>
            </w:r>
          </w:p>
        </w:tc>
      </w:tr>
      <w:tr w:rsidR="004850C2" w:rsidTr="004850C2">
        <w:trPr>
          <w:trHeight w:val="315"/>
          <w:jc w:val="center"/>
        </w:trPr>
        <w:tc>
          <w:tcPr>
            <w:tcW w:w="156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Servicios integrales de salud</w:t>
            </w:r>
          </w:p>
        </w:tc>
        <w:tc>
          <w:tcPr>
            <w:tcW w:w="724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Que los servicios de salud se proporcionen considerando las diferencias biológicas, médicas, psicológicas, laborales y económicas de las personas. Se incluyen los servicios para la atención de aquellos padecimientos más frecuentes en las mujeres, y aquellos factores que implican índices de riesgo diferentes para las mujeres, como la violencia y los accidentes.</w:t>
            </w:r>
          </w:p>
        </w:tc>
      </w:tr>
      <w:tr w:rsidR="004850C2" w:rsidTr="004850C2">
        <w:trPr>
          <w:trHeight w:val="1639"/>
          <w:jc w:val="center"/>
        </w:trPr>
        <w:tc>
          <w:tcPr>
            <w:tcW w:w="156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lastRenderedPageBreak/>
              <w:t>Servicios específicos para la mujer</w:t>
            </w:r>
          </w:p>
        </w:tc>
        <w:tc>
          <w:tcPr>
            <w:tcW w:w="724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Se refiere a aquellos padecimientos exclusivos de mujeres, entre los que se encuentran los servicios de salud relacionados con el embarazo, el parto y el período posterior al parto; el otorgamiento de servicios gratuitos cuando sea necesario y el aseguramiento de una nutrición adecuada durante el embarazo y la lactancia. Además, se consideran los servicios para atender cáncer de mama y cervicouterino. </w:t>
            </w:r>
          </w:p>
        </w:tc>
      </w:tr>
      <w:tr w:rsidR="004850C2" w:rsidTr="004850C2">
        <w:trPr>
          <w:trHeight w:val="315"/>
          <w:jc w:val="center"/>
        </w:trPr>
        <w:tc>
          <w:tcPr>
            <w:tcW w:w="156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Nutrición y alimentación para la mujer</w:t>
            </w:r>
          </w:p>
        </w:tc>
        <w:tc>
          <w:tcPr>
            <w:tcW w:w="7247"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Acciones encaminadas a prevenir y atender enfermedades asociadas a la mala nutrición en todas las etapas de la vida de la mujer.</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tbl>
      <w:tblPr>
        <w:tblpPr w:leftFromText="141" w:rightFromText="141" w:vertAnchor="text" w:horzAnchor="margin" w:tblpXSpec="center" w:tblpY="235"/>
        <w:tblW w:w="8793" w:type="dxa"/>
        <w:tblLook w:val="04A0"/>
      </w:tblPr>
      <w:tblGrid>
        <w:gridCol w:w="1574"/>
        <w:gridCol w:w="7219"/>
      </w:tblGrid>
      <w:tr w:rsidR="004850C2" w:rsidTr="004850C2">
        <w:trPr>
          <w:trHeight w:val="315"/>
        </w:trPr>
        <w:tc>
          <w:tcPr>
            <w:tcW w:w="8793" w:type="dxa"/>
            <w:gridSpan w:val="2"/>
            <w:tcBorders>
              <w:top w:val="single" w:sz="8" w:space="0" w:color="auto"/>
              <w:left w:val="single" w:sz="8" w:space="0" w:color="auto"/>
              <w:bottom w:val="nil"/>
              <w:right w:val="single" w:sz="8" w:space="0" w:color="auto"/>
            </w:tcBorders>
            <w:shd w:val="clear" w:color="auto" w:fill="1B1D3D" w:themeFill="text2" w:themeFillShade="BF"/>
            <w:noWrap/>
            <w:hideMark/>
          </w:tcPr>
          <w:p w:rsidR="004850C2" w:rsidRDefault="004850C2">
            <w:pPr>
              <w:jc w:val="center"/>
              <w:rPr>
                <w:rFonts w:ascii="Barlow Medium" w:eastAsia="Times New Roman" w:hAnsi="Barlow Medium" w:cs="Arial"/>
                <w:color w:val="222222"/>
                <w:sz w:val="20"/>
                <w:szCs w:val="20"/>
              </w:rPr>
            </w:pPr>
            <w:r>
              <w:rPr>
                <w:rFonts w:ascii="Barlow Medium" w:eastAsia="Times New Roman" w:hAnsi="Barlow Medium" w:cs="Arial"/>
                <w:sz w:val="20"/>
                <w:szCs w:val="20"/>
              </w:rPr>
              <w:t>Derechos sexuales y reproductivos</w:t>
            </w:r>
          </w:p>
        </w:tc>
      </w:tr>
      <w:tr w:rsidR="004850C2" w:rsidTr="004850C2">
        <w:trPr>
          <w:trHeight w:val="595"/>
        </w:trPr>
        <w:tc>
          <w:tcPr>
            <w:tcW w:w="1574" w:type="dxa"/>
            <w:tcBorders>
              <w:left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Educación sexual</w:t>
            </w:r>
          </w:p>
        </w:tc>
        <w:tc>
          <w:tcPr>
            <w:tcW w:w="7219" w:type="dxa"/>
            <w:tcBorders>
              <w:left w:val="nil"/>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Son aquellas acciones encaminadas a proporcionar información que permitan un ejercicio responsable de la sexualidad.</w:t>
            </w:r>
          </w:p>
        </w:tc>
      </w:tr>
      <w:tr w:rsidR="004850C2" w:rsidTr="004850C2">
        <w:trPr>
          <w:trHeight w:val="548"/>
        </w:trPr>
        <w:tc>
          <w:tcPr>
            <w:tcW w:w="1574" w:type="dxa"/>
            <w:tcBorders>
              <w:top w:val="nil"/>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Planificación familiar</w:t>
            </w:r>
          </w:p>
        </w:tc>
        <w:tc>
          <w:tcPr>
            <w:tcW w:w="7219" w:type="dxa"/>
            <w:tcBorders>
              <w:top w:val="nil"/>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 xml:space="preserve">Se refiere al acceso a información y métodos anticonceptivos que permiten decidir responsablemente sobre su planificación familiar. </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tbl>
      <w:tblPr>
        <w:tblpPr w:leftFromText="141" w:rightFromText="141" w:vertAnchor="text" w:horzAnchor="margin" w:tblpXSpec="center" w:tblpY="80"/>
        <w:tblW w:w="8789" w:type="dxa"/>
        <w:tblLook w:val="04A0"/>
      </w:tblPr>
      <w:tblGrid>
        <w:gridCol w:w="1403"/>
        <w:gridCol w:w="7386"/>
      </w:tblGrid>
      <w:tr w:rsidR="004850C2" w:rsidTr="004850C2">
        <w:trPr>
          <w:trHeight w:val="300"/>
          <w:tblHeader/>
        </w:trPr>
        <w:tc>
          <w:tcPr>
            <w:tcW w:w="8789" w:type="dxa"/>
            <w:gridSpan w:val="2"/>
            <w:tcBorders>
              <w:top w:val="single" w:sz="8" w:space="0" w:color="4A66AC" w:themeColor="accent1"/>
              <w:left w:val="single" w:sz="8" w:space="0" w:color="4A66AC" w:themeColor="accent1"/>
              <w:bottom w:val="nil"/>
              <w:right w:val="single" w:sz="8" w:space="0" w:color="4A66AC" w:themeColor="accent1"/>
            </w:tcBorders>
            <w:shd w:val="clear" w:color="auto" w:fill="1B1D3D" w:themeFill="text2" w:themeFillShade="BF"/>
            <w:noWrap/>
            <w:hideMark/>
          </w:tcPr>
          <w:p w:rsidR="004850C2" w:rsidRDefault="004850C2">
            <w:pPr>
              <w:jc w:val="center"/>
              <w:rPr>
                <w:rFonts w:ascii="Barlow Medium" w:eastAsia="Times New Roman" w:hAnsi="Barlow Medium" w:cs="Arial"/>
                <w:color w:val="FFFFFF"/>
                <w:sz w:val="20"/>
                <w:szCs w:val="20"/>
              </w:rPr>
            </w:pPr>
            <w:r>
              <w:rPr>
                <w:rFonts w:ascii="Barlow Medium" w:eastAsia="Times New Roman" w:hAnsi="Barlow Medium" w:cs="Arial"/>
                <w:sz w:val="20"/>
                <w:szCs w:val="20"/>
              </w:rPr>
              <w:t>Derecho a una vida libre de violencia</w:t>
            </w:r>
          </w:p>
        </w:tc>
      </w:tr>
      <w:tr w:rsidR="004850C2" w:rsidTr="004850C2">
        <w:trPr>
          <w:trHeight w:val="583"/>
        </w:trPr>
        <w:tc>
          <w:tcPr>
            <w:tcW w:w="1403" w:type="dxa"/>
            <w:tcBorders>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Prevención</w:t>
            </w:r>
          </w:p>
        </w:tc>
        <w:tc>
          <w:tcPr>
            <w:tcW w:w="7386" w:type="dxa"/>
            <w:tcBorders>
              <w:left w:val="nil"/>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Acciones que tienen como objetivo eliminar las causas de cualquier tipo de  violencia contra las mujeres y niñas.</w:t>
            </w:r>
          </w:p>
        </w:tc>
      </w:tr>
      <w:tr w:rsidR="004850C2" w:rsidTr="004850C2">
        <w:trPr>
          <w:trHeight w:val="819"/>
        </w:trPr>
        <w:tc>
          <w:tcPr>
            <w:tcW w:w="1403" w:type="dxa"/>
            <w:tcBorders>
              <w:top w:val="nil"/>
              <w:left w:val="single" w:sz="8" w:space="0" w:color="4A66AC" w:themeColor="accent1"/>
              <w:bottom w:val="nil"/>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Atención</w:t>
            </w:r>
          </w:p>
        </w:tc>
        <w:tc>
          <w:tcPr>
            <w:tcW w:w="7386" w:type="dxa"/>
            <w:tcBorders>
              <w:top w:val="nil"/>
              <w:left w:val="nil"/>
              <w:bottom w:val="nil"/>
              <w:right w:val="single" w:sz="8" w:space="0" w:color="4A66AC" w:themeColor="accent1"/>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Servicios especializados proporcionados de manera oportuna a cualquier mujer víctima de violencia, a sus hijas e hijos, con la finalidad de disminuir las consecuencias de la misma.</w:t>
            </w:r>
          </w:p>
        </w:tc>
      </w:tr>
      <w:tr w:rsidR="004850C2" w:rsidTr="004850C2">
        <w:trPr>
          <w:trHeight w:val="547"/>
        </w:trPr>
        <w:tc>
          <w:tcPr>
            <w:tcW w:w="1403" w:type="dxa"/>
            <w:tcBorders>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Impartición de justicia</w:t>
            </w:r>
          </w:p>
        </w:tc>
        <w:tc>
          <w:tcPr>
            <w:tcW w:w="7386" w:type="dxa"/>
            <w:tcBorders>
              <w:left w:val="nil"/>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Acciones que consideran penas o medidas correctivas apegadas a la ley. </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tbl>
      <w:tblPr>
        <w:tblpPr w:leftFromText="141" w:rightFromText="141" w:vertAnchor="text" w:horzAnchor="margin" w:tblpXSpec="center" w:tblpY="65"/>
        <w:tblW w:w="4650" w:type="pct"/>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879"/>
        <w:gridCol w:w="9241"/>
      </w:tblGrid>
      <w:tr w:rsidR="004850C2" w:rsidTr="004850C2">
        <w:trPr>
          <w:trHeight w:val="305"/>
          <w:tblHeader/>
        </w:trPr>
        <w:tc>
          <w:tcPr>
            <w:tcW w:w="5000" w:type="pct"/>
            <w:gridSpan w:val="2"/>
            <w:tcBorders>
              <w:top w:val="single" w:sz="8" w:space="0" w:color="auto"/>
              <w:left w:val="single" w:sz="8" w:space="0" w:color="auto"/>
              <w:bottom w:val="single" w:sz="8" w:space="0" w:color="auto"/>
              <w:right w:val="single" w:sz="8" w:space="0" w:color="auto"/>
            </w:tcBorders>
            <w:shd w:val="clear" w:color="auto" w:fill="1B1D3D" w:themeFill="text2" w:themeFillShade="BF"/>
            <w:noWrap/>
            <w:hideMark/>
          </w:tcPr>
          <w:p w:rsidR="004850C2" w:rsidRDefault="004850C2">
            <w:pPr>
              <w:spacing w:after="240"/>
              <w:jc w:val="center"/>
              <w:rPr>
                <w:rFonts w:ascii="Barlow Medium" w:eastAsia="Times New Roman" w:hAnsi="Barlow Medium" w:cs="Arial"/>
                <w:color w:val="FFFFFF"/>
                <w:sz w:val="20"/>
                <w:szCs w:val="20"/>
              </w:rPr>
            </w:pPr>
            <w:r>
              <w:rPr>
                <w:rFonts w:ascii="Barlow Medium" w:eastAsia="Times New Roman" w:hAnsi="Barlow Medium" w:cs="Arial"/>
                <w:sz w:val="20"/>
                <w:szCs w:val="20"/>
              </w:rPr>
              <w:t>Derecho al trabajo</w:t>
            </w:r>
          </w:p>
        </w:tc>
      </w:tr>
      <w:tr w:rsidR="004850C2" w:rsidTr="004850C2">
        <w:trPr>
          <w:trHeight w:val="300"/>
        </w:trPr>
        <w:tc>
          <w:tcPr>
            <w:tcW w:w="574" w:type="pct"/>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Igualdad de oportunidades</w:t>
            </w:r>
          </w:p>
        </w:tc>
        <w:tc>
          <w:tcPr>
            <w:tcW w:w="4426" w:type="pct"/>
            <w:tcBorders>
              <w:top w:val="single" w:sz="8" w:space="0" w:color="auto"/>
              <w:left w:val="nil"/>
              <w:bottom w:val="single" w:sz="8" w:space="0" w:color="auto"/>
              <w:right w:val="single" w:sz="8" w:space="0" w:color="auto"/>
            </w:tcBorders>
            <w:noWrap/>
            <w:hideMark/>
          </w:tcPr>
          <w:p w:rsidR="004850C2" w:rsidRDefault="004850C2">
            <w:pPr>
              <w:spacing w:after="240"/>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Acciones que promueven que en el ámbito laboral las mujeres puedan acceder en las mismas condiciones que los hombres a: </w:t>
            </w:r>
          </w:p>
          <w:p w:rsidR="004850C2" w:rsidRDefault="004850C2">
            <w:pPr>
              <w:spacing w:after="240"/>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Solicitar un trabajo</w:t>
            </w:r>
            <w:r>
              <w:rPr>
                <w:rFonts w:ascii="Barlow Medium" w:eastAsia="Times New Roman" w:hAnsi="Barlow Medium" w:cs="Arial"/>
                <w:color w:val="000000"/>
                <w:sz w:val="20"/>
                <w:szCs w:val="20"/>
              </w:rPr>
              <w:br/>
              <w:t>- Ocupar una vacante, ser ascendida o promovida dentro de su        empresa o centro de trabajo</w:t>
            </w:r>
            <w:r>
              <w:rPr>
                <w:rFonts w:ascii="Barlow Medium" w:eastAsia="Times New Roman" w:hAnsi="Barlow Medium" w:cs="Arial"/>
                <w:color w:val="000000"/>
                <w:sz w:val="20"/>
                <w:szCs w:val="20"/>
              </w:rPr>
              <w:br/>
              <w:t>- Disfrutar de una beca o de cualquiera de los servicios del Sistema Nacional de Empleo</w:t>
            </w:r>
            <w:r>
              <w:rPr>
                <w:rFonts w:ascii="Barlow Medium" w:eastAsia="Times New Roman" w:hAnsi="Barlow Medium" w:cs="Arial"/>
                <w:color w:val="000000"/>
                <w:sz w:val="20"/>
                <w:szCs w:val="20"/>
              </w:rPr>
              <w:br/>
              <w:t>- Ser capacitada o tener formación profesional</w:t>
            </w:r>
            <w:r>
              <w:rPr>
                <w:rFonts w:ascii="Barlow Medium" w:eastAsia="Times New Roman" w:hAnsi="Barlow Medium" w:cs="Arial"/>
                <w:color w:val="000000"/>
                <w:sz w:val="20"/>
                <w:szCs w:val="20"/>
              </w:rPr>
              <w:br/>
              <w:t>- Participar en las comisiones mixtas que establecen las leyes</w:t>
            </w:r>
            <w:r>
              <w:rPr>
                <w:rFonts w:ascii="Barlow Medium" w:eastAsia="Times New Roman" w:hAnsi="Barlow Medium" w:cs="Arial"/>
                <w:color w:val="000000"/>
                <w:sz w:val="20"/>
                <w:szCs w:val="20"/>
              </w:rPr>
              <w:br/>
              <w:t>- Sindicalizarse y ocupar puestos en las mesas directivas</w:t>
            </w:r>
            <w:r>
              <w:rPr>
                <w:rFonts w:ascii="Barlow Medium" w:eastAsia="Times New Roman" w:hAnsi="Barlow Medium" w:cs="Arial"/>
                <w:color w:val="000000"/>
                <w:sz w:val="20"/>
                <w:szCs w:val="20"/>
              </w:rPr>
              <w:br/>
              <w:t>- Gozar de todas y cada una de las prestaciones laborales y de seguridad social</w:t>
            </w:r>
            <w:r>
              <w:rPr>
                <w:rFonts w:ascii="Barlow Medium" w:eastAsia="Times New Roman" w:hAnsi="Barlow Medium" w:cs="Arial"/>
                <w:color w:val="000000"/>
                <w:sz w:val="20"/>
                <w:szCs w:val="20"/>
              </w:rPr>
              <w:br/>
              <w:t>- Recibir apoyo para la atención de sus hijos menores, como guarderías infantiles</w:t>
            </w:r>
            <w:r>
              <w:rPr>
                <w:rFonts w:ascii="Barlow Medium" w:eastAsia="Times New Roman" w:hAnsi="Barlow Medium" w:cs="Arial"/>
                <w:color w:val="000000"/>
                <w:sz w:val="20"/>
                <w:szCs w:val="20"/>
              </w:rPr>
              <w:br/>
              <w:t>- Ejercer en general, libremente y en condiciones iguales, todos los derechos de acuerdo con las leyes, los contratos y reglamentos que rijan sus relaciones laborales</w:t>
            </w:r>
          </w:p>
          <w:p w:rsidR="004850C2" w:rsidRDefault="004850C2">
            <w:pPr>
              <w:spacing w:after="240"/>
              <w:rPr>
                <w:rFonts w:ascii="Barlow Medium" w:eastAsia="Times New Roman" w:hAnsi="Barlow Medium" w:cs="Arial"/>
                <w:color w:val="000000"/>
                <w:sz w:val="20"/>
                <w:szCs w:val="20"/>
              </w:rPr>
            </w:pPr>
            <w:r>
              <w:rPr>
                <w:rFonts w:ascii="Barlow Medium" w:eastAsia="Times New Roman" w:hAnsi="Barlow Medium" w:cs="Arial"/>
                <w:color w:val="000000"/>
                <w:sz w:val="20"/>
                <w:szCs w:val="20"/>
              </w:rPr>
              <w:t>También incluye medidas para incentivar la ocupación de mujeres en sectores económicos no tradicionales y apoyar el emprendimiento.</w:t>
            </w:r>
          </w:p>
        </w:tc>
      </w:tr>
      <w:tr w:rsidR="004850C2" w:rsidTr="004850C2">
        <w:trPr>
          <w:trHeight w:val="1174"/>
        </w:trPr>
        <w:tc>
          <w:tcPr>
            <w:tcW w:w="574" w:type="pct"/>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Igualdad de trato</w:t>
            </w:r>
          </w:p>
        </w:tc>
        <w:tc>
          <w:tcPr>
            <w:tcW w:w="4426" w:type="pct"/>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222222"/>
                <w:sz w:val="20"/>
                <w:szCs w:val="20"/>
              </w:rPr>
              <w:t>Consiste en respetar las mismas jornadas, salarios y prestaciones, cuando se realizan las mismas actividades, en las mismas circunstancias, en un mismo centro de trabajo, entendido éste como empresa o establecimiento.</w:t>
            </w:r>
          </w:p>
        </w:tc>
      </w:tr>
      <w:tr w:rsidR="004850C2" w:rsidTr="004850C2">
        <w:trPr>
          <w:trHeight w:val="300"/>
        </w:trPr>
        <w:tc>
          <w:tcPr>
            <w:tcW w:w="574" w:type="pct"/>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color w:val="000000"/>
                <w:sz w:val="20"/>
                <w:szCs w:val="20"/>
              </w:rPr>
            </w:pPr>
            <w:r>
              <w:rPr>
                <w:rFonts w:ascii="Barlow Medium" w:eastAsia="Times New Roman" w:hAnsi="Barlow Medium" w:cs="Arial"/>
                <w:color w:val="000000"/>
                <w:sz w:val="20"/>
                <w:szCs w:val="20"/>
              </w:rPr>
              <w:t>Igualdad de pago</w:t>
            </w:r>
          </w:p>
        </w:tc>
        <w:tc>
          <w:tcPr>
            <w:tcW w:w="4426" w:type="pct"/>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Es sinónimo de igualdad de remuneración. Es parte del principio de igualdad en el trato o de igualdad en las condiciones de trabajo, ya que el salario es una de éstas. Sin embargo, por la importancia que reviste el tema de la remuneración se considera necesario prestarle especial atención. El derecho a la igualdad de pago genera la obligación de remunerar con la misma cantidad a los trabajadores y trabajadoras, cuando desempeñan trabajos similares, bajo las mismas condiciones, laborando el mismo número de horas y produciendo la misma cantidad y calidad de trabajo.</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tbl>
      <w:tblPr>
        <w:tblpPr w:leftFromText="141" w:rightFromText="141" w:vertAnchor="text" w:horzAnchor="margin" w:tblpX="358" w:tblpY="163"/>
        <w:tblW w:w="8441" w:type="dxa"/>
        <w:tblLook w:val="04A0"/>
      </w:tblPr>
      <w:tblGrid>
        <w:gridCol w:w="1212"/>
        <w:gridCol w:w="7396"/>
      </w:tblGrid>
      <w:tr w:rsidR="004850C2" w:rsidTr="004850C2">
        <w:trPr>
          <w:trHeight w:val="315"/>
        </w:trPr>
        <w:tc>
          <w:tcPr>
            <w:tcW w:w="8441" w:type="dxa"/>
            <w:gridSpan w:val="2"/>
            <w:tcBorders>
              <w:top w:val="single" w:sz="8" w:space="0" w:color="4A66AC" w:themeColor="accent1"/>
              <w:left w:val="single" w:sz="8" w:space="0" w:color="4A66AC" w:themeColor="accent1"/>
              <w:bottom w:val="nil"/>
              <w:right w:val="single" w:sz="8" w:space="0" w:color="4A66AC" w:themeColor="accent1"/>
            </w:tcBorders>
            <w:shd w:val="clear" w:color="auto" w:fill="1B1D3D" w:themeFill="text2" w:themeFillShade="BF"/>
            <w:noWrap/>
            <w:hideMark/>
          </w:tcPr>
          <w:p w:rsidR="004850C2" w:rsidRDefault="004850C2">
            <w:pPr>
              <w:jc w:val="center"/>
              <w:rPr>
                <w:rFonts w:ascii="Barlow Medium" w:eastAsia="Times New Roman" w:hAnsi="Barlow Medium" w:cs="Arial"/>
                <w:color w:val="222222"/>
                <w:sz w:val="20"/>
                <w:szCs w:val="20"/>
              </w:rPr>
            </w:pPr>
            <w:r>
              <w:rPr>
                <w:rFonts w:ascii="Barlow Medium" w:eastAsia="Times New Roman" w:hAnsi="Barlow Medium" w:cs="Arial"/>
                <w:sz w:val="20"/>
                <w:szCs w:val="20"/>
              </w:rPr>
              <w:t>Derecho al desarrollo</w:t>
            </w:r>
          </w:p>
        </w:tc>
      </w:tr>
      <w:tr w:rsidR="004850C2" w:rsidTr="004850C2">
        <w:trPr>
          <w:trHeight w:val="1919"/>
        </w:trPr>
        <w:tc>
          <w:tcPr>
            <w:tcW w:w="1045" w:type="dxa"/>
            <w:tcBorders>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lastRenderedPageBreak/>
              <w:t>Acceso a la propiedad</w:t>
            </w:r>
          </w:p>
        </w:tc>
        <w:tc>
          <w:tcPr>
            <w:tcW w:w="7396" w:type="dxa"/>
            <w:tcBorders>
              <w:left w:val="nil"/>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Se refiere a las acciones que promuevan la plena igualdad de derechos en materia de propiedad de la tierra y otros bienes, en particular mediante derechos sucesorios. Igualmente se refiere a las reformas administrativas y otras medidas necesarias para dar a la mujer los mismos derechos en materia de crédito y capital. Asimismo, son acciones que fomentan que las instituciones de crédito aseguren que sus políticas y prácticas no sean discriminatorias contra la mujer.</w:t>
            </w:r>
          </w:p>
        </w:tc>
      </w:tr>
      <w:tr w:rsidR="004850C2" w:rsidTr="004850C2">
        <w:trPr>
          <w:trHeight w:val="1110"/>
        </w:trPr>
        <w:tc>
          <w:tcPr>
            <w:tcW w:w="1045" w:type="dxa"/>
            <w:tcBorders>
              <w:top w:val="nil"/>
              <w:left w:val="single" w:sz="8" w:space="0" w:color="4A66AC" w:themeColor="accent1"/>
              <w:bottom w:val="nil"/>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Vivienda</w:t>
            </w:r>
          </w:p>
        </w:tc>
        <w:tc>
          <w:tcPr>
            <w:tcW w:w="7396" w:type="dxa"/>
            <w:tcBorders>
              <w:top w:val="nil"/>
              <w:left w:val="nil"/>
              <w:bottom w:val="nil"/>
              <w:right w:val="single" w:sz="8" w:space="0" w:color="4A66AC" w:themeColor="accent1"/>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 refiere a las acciones encaminadas a que las mujeres posean un espacio protegido, privado y seguro,  que cuente con servicios básicos de calidad. Asimismo, facilitarles el acceso a créditos para adquisición de vivienda eliminando aquellos requisitos que sean discriminatorios.</w:t>
            </w:r>
          </w:p>
        </w:tc>
      </w:tr>
      <w:tr w:rsidR="004850C2" w:rsidTr="004850C2">
        <w:trPr>
          <w:trHeight w:val="1114"/>
        </w:trPr>
        <w:tc>
          <w:tcPr>
            <w:tcW w:w="1045" w:type="dxa"/>
            <w:tcBorders>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Acceso al crédito para la actividad económica</w:t>
            </w:r>
          </w:p>
        </w:tc>
        <w:tc>
          <w:tcPr>
            <w:tcW w:w="7396" w:type="dxa"/>
            <w:tcBorders>
              <w:left w:val="nil"/>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Se refiere a las acciones que promueven facilidades para que las mujeres puedan hacerse de un patrimonio propio mediante el acceso a créditos para emprender negocios con los cuales puedan mejorar sus ingresos. Incluye la capacitación y asesoría asociada al crédito o financiamiento.</w:t>
            </w:r>
          </w:p>
        </w:tc>
      </w:tr>
      <w:tr w:rsidR="004850C2" w:rsidTr="004850C2">
        <w:trPr>
          <w:trHeight w:val="1825"/>
        </w:trPr>
        <w:tc>
          <w:tcPr>
            <w:tcW w:w="1045" w:type="dxa"/>
            <w:tcBorders>
              <w:top w:val="nil"/>
              <w:left w:val="single" w:sz="8" w:space="0" w:color="4A66AC" w:themeColor="accent1"/>
              <w:bottom w:val="nil"/>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Acceso equitativo a los beneficios del desarrollo</w:t>
            </w:r>
          </w:p>
        </w:tc>
        <w:tc>
          <w:tcPr>
            <w:tcW w:w="7396" w:type="dxa"/>
            <w:tcBorders>
              <w:top w:val="nil"/>
              <w:left w:val="nil"/>
              <w:bottom w:val="nil"/>
              <w:right w:val="single" w:sz="8" w:space="0" w:color="4A66AC" w:themeColor="accent1"/>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 xml:space="preserve">Considera acciones que se llevan a cabo para formular políticas de desarrollo en materia de igualdad de género, con el fin de mejorar constantemente el bienestar de la población entera y de todos los individuos sobre la base de su participación activa, libre y significativa en el desarrollo y en la equitativa distribución de los beneficios resultantes de éste. Incluye acciones para mejorar la distribución del trabajo de cuidado al interior de las familias, además de la corresponsabilidad laboral y familiar. </w:t>
            </w:r>
          </w:p>
        </w:tc>
      </w:tr>
      <w:tr w:rsidR="004850C2" w:rsidTr="004850C2">
        <w:trPr>
          <w:trHeight w:val="1653"/>
        </w:trPr>
        <w:tc>
          <w:tcPr>
            <w:tcW w:w="1045" w:type="dxa"/>
            <w:tcBorders>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Deporte</w:t>
            </w:r>
          </w:p>
        </w:tc>
        <w:tc>
          <w:tcPr>
            <w:tcW w:w="7396" w:type="dxa"/>
            <w:tcBorders>
              <w:left w:val="nil"/>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 xml:space="preserve">Considera acciones para promover la participación en el deporte, ya sea como actividad de ocio, recreo, promoción de la salud o la práctica de alto rendimiento; incluye el fomento de una cultura que permita y valore la plena participación de las mujeres en todos los niveles del deporte.  También se consideran acciones que garanticen la atención integral de las deportistas sin discriminación alguna. </w:t>
            </w:r>
          </w:p>
        </w:tc>
      </w:tr>
      <w:tr w:rsidR="004850C2" w:rsidTr="004850C2">
        <w:trPr>
          <w:trHeight w:val="1879"/>
        </w:trPr>
        <w:tc>
          <w:tcPr>
            <w:tcW w:w="1045" w:type="dxa"/>
            <w:tcBorders>
              <w:top w:val="nil"/>
              <w:left w:val="single" w:sz="8" w:space="0" w:color="4A66AC" w:themeColor="accent1"/>
              <w:bottom w:val="nil"/>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Cultura y Recreación</w:t>
            </w:r>
          </w:p>
        </w:tc>
        <w:tc>
          <w:tcPr>
            <w:tcW w:w="7396" w:type="dxa"/>
            <w:tcBorders>
              <w:top w:val="nil"/>
              <w:left w:val="nil"/>
              <w:bottom w:val="nil"/>
              <w:right w:val="single" w:sz="8" w:space="0" w:color="4A66AC" w:themeColor="accent1"/>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Son acciones que buscan incidir en la cultura y en los medios de comunicación para modificar la imagen social que se tiene de las mujeres. También incluye acciones encaminadas a garantizar la igualdad de trato y de oportunidades en todo lo concerniente a la creación y producción artística e intelectual, a la difusión de la misma, así como la de promover la presencia equilibrada de mujeres y hombres en la oferta pública artística y cultural.</w:t>
            </w:r>
          </w:p>
        </w:tc>
      </w:tr>
      <w:tr w:rsidR="004850C2" w:rsidTr="004850C2">
        <w:trPr>
          <w:trHeight w:val="1672"/>
        </w:trPr>
        <w:tc>
          <w:tcPr>
            <w:tcW w:w="1045" w:type="dxa"/>
            <w:tcBorders>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Asistencia social</w:t>
            </w:r>
          </w:p>
        </w:tc>
        <w:tc>
          <w:tcPr>
            <w:tcW w:w="7396" w:type="dxa"/>
            <w:tcBorders>
              <w:left w:val="nil"/>
            </w:tcBorders>
            <w:noWrap/>
            <w:hideMark/>
          </w:tcPr>
          <w:p w:rsidR="004850C2" w:rsidRDefault="004850C2">
            <w:pPr>
              <w:jc w:val="both"/>
              <w:rPr>
                <w:rFonts w:ascii="Barlow Medium" w:eastAsia="Times New Roman" w:hAnsi="Barlow Medium" w:cs="Arial"/>
                <w:color w:val="000000"/>
                <w:sz w:val="20"/>
                <w:szCs w:val="20"/>
              </w:rPr>
            </w:pPr>
            <w:r>
              <w:rPr>
                <w:rFonts w:ascii="Barlow Medium" w:eastAsia="Times New Roman" w:hAnsi="Barlow Medium" w:cs="Arial"/>
                <w:color w:val="000000"/>
                <w:sz w:val="20"/>
                <w:szCs w:val="20"/>
              </w:rPr>
              <w:t xml:space="preserve">Se trata de acciones y recursos que tienen como propósito que las mujeres que viven en las zonas con mayor atraso social tengan mejores oportunidades de acceso a la educación, la salud y la vivienda. Son medidas para que las mujeres reciban un poco más, con el fin de acelerar la eliminación de disparidades en el acceso a bienes y servicios públicos contra la pobreza y en favor de la igualdad de oportunidades. </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tbl>
      <w:tblPr>
        <w:tblpPr w:leftFromText="141" w:rightFromText="141" w:vertAnchor="text" w:horzAnchor="margin" w:tblpXSpec="center" w:tblpY="123"/>
        <w:tblW w:w="8760" w:type="dxa"/>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2299"/>
        <w:gridCol w:w="6461"/>
      </w:tblGrid>
      <w:tr w:rsidR="004850C2" w:rsidTr="004850C2">
        <w:trPr>
          <w:trHeight w:val="292"/>
        </w:trPr>
        <w:tc>
          <w:tcPr>
            <w:tcW w:w="8760" w:type="dxa"/>
            <w:gridSpan w:val="2"/>
            <w:tcBorders>
              <w:top w:val="single" w:sz="8" w:space="0" w:color="auto"/>
              <w:left w:val="single" w:sz="8" w:space="0" w:color="auto"/>
              <w:bottom w:val="single" w:sz="8" w:space="0" w:color="auto"/>
              <w:right w:val="single" w:sz="8" w:space="0" w:color="auto"/>
            </w:tcBorders>
            <w:shd w:val="clear" w:color="auto" w:fill="1B1D3D" w:themeFill="text2" w:themeFillShade="BF"/>
            <w:noWrap/>
            <w:hideMark/>
          </w:tcPr>
          <w:p w:rsidR="004850C2" w:rsidRDefault="004850C2">
            <w:pPr>
              <w:jc w:val="center"/>
              <w:rPr>
                <w:rFonts w:ascii="Barlow Medium" w:eastAsia="Times New Roman" w:hAnsi="Barlow Medium" w:cs="Arial"/>
                <w:sz w:val="20"/>
                <w:szCs w:val="20"/>
              </w:rPr>
            </w:pPr>
            <w:r>
              <w:rPr>
                <w:rFonts w:ascii="Barlow Medium" w:eastAsia="Times New Roman" w:hAnsi="Barlow Medium" w:cs="Arial"/>
                <w:sz w:val="20"/>
                <w:szCs w:val="20"/>
              </w:rPr>
              <w:t>Derecho  a la participación política</w:t>
            </w:r>
          </w:p>
        </w:tc>
      </w:tr>
      <w:tr w:rsidR="004850C2" w:rsidTr="004850C2">
        <w:trPr>
          <w:trHeight w:val="835"/>
        </w:trPr>
        <w:tc>
          <w:tcPr>
            <w:tcW w:w="2299"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Capacitación en materia de liderazgo</w:t>
            </w:r>
          </w:p>
        </w:tc>
        <w:tc>
          <w:tcPr>
            <w:tcW w:w="6461"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de capacitación con el fin expreso de fomentar el liderazgo o empoderamiento de las mujeres en la toma de decisiones.</w:t>
            </w:r>
          </w:p>
        </w:tc>
      </w:tr>
      <w:tr w:rsidR="004850C2" w:rsidTr="004850C2">
        <w:trPr>
          <w:trHeight w:val="315"/>
        </w:trPr>
        <w:tc>
          <w:tcPr>
            <w:tcW w:w="2299"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Promoción y difusión de derechos políticos</w:t>
            </w:r>
          </w:p>
        </w:tc>
        <w:tc>
          <w:tcPr>
            <w:tcW w:w="6461"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de promoción y difusión de los derechos políticos de las mujeres. Considera acciones que contengan elementos expresamente dirigidos a las mujeres.</w:t>
            </w:r>
          </w:p>
        </w:tc>
      </w:tr>
      <w:tr w:rsidR="004850C2" w:rsidTr="004850C2">
        <w:trPr>
          <w:trHeight w:val="315"/>
        </w:trPr>
        <w:tc>
          <w:tcPr>
            <w:tcW w:w="2299"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Participación política en puestos de elección popular y cargos de toma de decisiones en instituciones públicas</w:t>
            </w:r>
          </w:p>
        </w:tc>
        <w:tc>
          <w:tcPr>
            <w:tcW w:w="6461"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encaminadas a incrementar la participación, la equidad y presencia de las mujeres en los ámbitos de toma de decisiones en las instituciones gubernamentales, la administración pública, los órganos legislativos y los tribunales judiciales. Se deberán identificar acciones que aseguren o impulsen la paridad en los puestos de decisión.</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rPr>
      </w:pPr>
    </w:p>
    <w:tbl>
      <w:tblPr>
        <w:tblW w:w="8760" w:type="dxa"/>
        <w:jc w:val="center"/>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2471"/>
        <w:gridCol w:w="6289"/>
      </w:tblGrid>
      <w:tr w:rsidR="004850C2" w:rsidTr="004850C2">
        <w:trPr>
          <w:trHeight w:val="407"/>
          <w:jc w:val="center"/>
        </w:trPr>
        <w:tc>
          <w:tcPr>
            <w:tcW w:w="8760" w:type="dxa"/>
            <w:gridSpan w:val="2"/>
            <w:tcBorders>
              <w:top w:val="single" w:sz="8" w:space="0" w:color="auto"/>
              <w:left w:val="single" w:sz="8" w:space="0" w:color="auto"/>
              <w:bottom w:val="single" w:sz="8" w:space="0" w:color="auto"/>
              <w:right w:val="single" w:sz="8" w:space="0" w:color="auto"/>
            </w:tcBorders>
            <w:shd w:val="clear" w:color="auto" w:fill="1B1D3D" w:themeFill="text2" w:themeFillShade="BF"/>
            <w:noWrap/>
            <w:hideMark/>
          </w:tcPr>
          <w:p w:rsidR="004850C2" w:rsidRDefault="004850C2">
            <w:pPr>
              <w:jc w:val="center"/>
              <w:rPr>
                <w:rFonts w:ascii="Barlow Medium" w:eastAsia="Times New Roman" w:hAnsi="Barlow Medium" w:cs="Arial"/>
                <w:sz w:val="20"/>
                <w:szCs w:val="20"/>
              </w:rPr>
            </w:pPr>
            <w:r>
              <w:rPr>
                <w:rFonts w:ascii="Barlow Medium" w:eastAsia="Times New Roman" w:hAnsi="Barlow Medium" w:cs="Arial"/>
                <w:sz w:val="20"/>
                <w:szCs w:val="20"/>
              </w:rPr>
              <w:lastRenderedPageBreak/>
              <w:t>Derecho a un ambiente sano</w:t>
            </w:r>
          </w:p>
        </w:tc>
      </w:tr>
      <w:tr w:rsidR="004850C2" w:rsidTr="004850C2">
        <w:trPr>
          <w:trHeight w:val="1215"/>
          <w:jc w:val="center"/>
        </w:trPr>
        <w:tc>
          <w:tcPr>
            <w:tcW w:w="247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Participación en planes y políticas de desarrollo ecológico territorial</w:t>
            </w:r>
          </w:p>
        </w:tc>
        <w:tc>
          <w:tcPr>
            <w:tcW w:w="628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Instrumentos que permitan y promuevan la participación de la mujer en el diseño e instrumentación de planes y políticas de desarrollo ecológico territorial.</w:t>
            </w:r>
          </w:p>
        </w:tc>
      </w:tr>
      <w:tr w:rsidR="004850C2" w:rsidTr="004850C2">
        <w:trPr>
          <w:trHeight w:val="1515"/>
          <w:jc w:val="center"/>
        </w:trPr>
        <w:tc>
          <w:tcPr>
            <w:tcW w:w="247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Educación y capacitación para el cuidado de los recursos naturales considerando la perspectiva de género</w:t>
            </w:r>
          </w:p>
        </w:tc>
        <w:tc>
          <w:tcPr>
            <w:tcW w:w="628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Educación y capacitación en el manejo adecuado de los recursos naturales y en la conservación del medio ambiente, aire no contaminado, agua limpia, alimentos no tóxicos, entre otros.</w:t>
            </w:r>
          </w:p>
        </w:tc>
      </w:tr>
      <w:tr w:rsidR="004850C2" w:rsidTr="004850C2">
        <w:trPr>
          <w:trHeight w:val="1414"/>
          <w:jc w:val="center"/>
        </w:trPr>
        <w:tc>
          <w:tcPr>
            <w:tcW w:w="247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Participación en actividades para tener un ambiente sano y manejo de los recursos naturales</w:t>
            </w:r>
          </w:p>
        </w:tc>
        <w:tc>
          <w:tcPr>
            <w:tcW w:w="628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Realización de actividades donde se promueva la participación de las mujeres en temas de medio ambiente, manejo y aprovechamiento de recursos naturales como son el reciclaje, la limpieza de playas o la implementación de proyectos económicos sustentables.</w:t>
            </w:r>
          </w:p>
        </w:tc>
      </w:tr>
      <w:tr w:rsidR="004850C2" w:rsidTr="004850C2">
        <w:trPr>
          <w:trHeight w:val="839"/>
          <w:jc w:val="center"/>
        </w:trPr>
        <w:tc>
          <w:tcPr>
            <w:tcW w:w="2471"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Uso de tecnología que mejore la salud y conserve el planeta</w:t>
            </w:r>
          </w:p>
        </w:tc>
        <w:tc>
          <w:tcPr>
            <w:tcW w:w="628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de capacitación para ampliar las capacidades de las mujeres para el uso de tecnología adecuada que no implique peligro para la salud humana y la vida del planeta.</w:t>
            </w:r>
          </w:p>
        </w:tc>
      </w:tr>
    </w:tbl>
    <w:p w:rsidR="004850C2" w:rsidRDefault="004850C2" w:rsidP="004850C2">
      <w:pPr>
        <w:shd w:val="clear" w:color="auto" w:fill="FFFFFF"/>
        <w:spacing w:before="100" w:beforeAutospacing="1"/>
        <w:contextualSpacing/>
        <w:jc w:val="both"/>
        <w:rPr>
          <w:rFonts w:ascii="Barlow Medium" w:eastAsia="Times New Roman" w:hAnsi="Barlow Medium" w:cs="Arial"/>
          <w:b/>
          <w:color w:val="222222"/>
          <w:sz w:val="20"/>
          <w:szCs w:val="20"/>
          <w:lang w:eastAsia="es-MX"/>
        </w:rPr>
      </w:pPr>
    </w:p>
    <w:tbl>
      <w:tblPr>
        <w:tblpPr w:leftFromText="141" w:rightFromText="141" w:vertAnchor="text" w:horzAnchor="margin" w:tblpXSpec="center" w:tblpY="-34"/>
        <w:tblW w:w="8789" w:type="dxa"/>
        <w:tblBorders>
          <w:top w:val="single" w:sz="8" w:space="0" w:color="auto"/>
          <w:left w:val="single" w:sz="8" w:space="0" w:color="auto"/>
          <w:bottom w:val="single" w:sz="8" w:space="0" w:color="auto"/>
          <w:right w:val="single" w:sz="8" w:space="0" w:color="auto"/>
          <w:insideH w:val="single" w:sz="8" w:space="0" w:color="auto"/>
        </w:tblBorders>
        <w:tblLook w:val="04A0"/>
      </w:tblPr>
      <w:tblGrid>
        <w:gridCol w:w="2410"/>
        <w:gridCol w:w="6379"/>
      </w:tblGrid>
      <w:tr w:rsidR="004850C2" w:rsidTr="004850C2">
        <w:trPr>
          <w:trHeight w:val="378"/>
        </w:trPr>
        <w:tc>
          <w:tcPr>
            <w:tcW w:w="8789" w:type="dxa"/>
            <w:gridSpan w:val="2"/>
            <w:tcBorders>
              <w:top w:val="single" w:sz="8" w:space="0" w:color="auto"/>
              <w:left w:val="single" w:sz="8" w:space="0" w:color="auto"/>
              <w:bottom w:val="single" w:sz="8" w:space="0" w:color="auto"/>
              <w:right w:val="single" w:sz="8" w:space="0" w:color="auto"/>
            </w:tcBorders>
            <w:shd w:val="clear" w:color="auto" w:fill="1B1D3D" w:themeFill="text2" w:themeFillShade="BF"/>
            <w:noWrap/>
            <w:hideMark/>
          </w:tcPr>
          <w:p w:rsidR="004850C2" w:rsidRDefault="004850C2">
            <w:pPr>
              <w:jc w:val="center"/>
              <w:rPr>
                <w:rFonts w:ascii="Barlow Medium" w:eastAsia="Times New Roman" w:hAnsi="Barlow Medium" w:cs="Arial"/>
                <w:color w:val="222222"/>
                <w:sz w:val="20"/>
                <w:szCs w:val="20"/>
              </w:rPr>
            </w:pPr>
            <w:r>
              <w:rPr>
                <w:rFonts w:ascii="Barlow Medium" w:eastAsia="Times New Roman" w:hAnsi="Barlow Medium" w:cs="Arial"/>
                <w:sz w:val="20"/>
                <w:szCs w:val="20"/>
              </w:rPr>
              <w:t>Derecho a la información</w:t>
            </w:r>
          </w:p>
        </w:tc>
      </w:tr>
      <w:tr w:rsidR="004850C2" w:rsidTr="004850C2">
        <w:trPr>
          <w:trHeight w:val="1403"/>
        </w:trPr>
        <w:tc>
          <w:tcPr>
            <w:tcW w:w="2410"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Medios masivos de comunicación</w:t>
            </w:r>
            <w:r>
              <w:rPr>
                <w:rFonts w:ascii="Barlow Medium" w:eastAsia="Times New Roman" w:hAnsi="Barlow Medium" w:cs="Arial"/>
                <w:iCs/>
                <w:color w:val="222222"/>
                <w:sz w:val="20"/>
                <w:szCs w:val="20"/>
                <w:vertAlign w:val="superscript"/>
              </w:rPr>
              <w:footnoteReference w:id="13"/>
            </w:r>
          </w:p>
        </w:tc>
        <w:tc>
          <w:tcPr>
            <w:tcW w:w="637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Incluye la difusión de los derechos de las mujeres, la no violencia y la cultura de la igualdad a través de los medios masivos de comunicación, así como las acciones para promover contenidos a favor de la igualdad y eliminar estereotipos en los contenidos. Contempla también el uso democrático de los medios de comunicación y la libre expresión.</w:t>
            </w:r>
          </w:p>
        </w:tc>
      </w:tr>
      <w:tr w:rsidR="004850C2" w:rsidTr="004850C2">
        <w:trPr>
          <w:trHeight w:val="1396"/>
        </w:trPr>
        <w:tc>
          <w:tcPr>
            <w:tcW w:w="2410"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Espacios de libertad de expresión para las mujeres</w:t>
            </w:r>
          </w:p>
        </w:tc>
        <w:tc>
          <w:tcPr>
            <w:tcW w:w="637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o mecanismos que promuevan de manera explícita que las mujeres puedan ejercer el derecho a la libertad de expresión, generar opiniones e ideas mediante la promoción de acciones para la creación de espacios de comunicación que garanticen este derecho a las mujeres.</w:t>
            </w:r>
          </w:p>
        </w:tc>
      </w:tr>
      <w:tr w:rsidR="004850C2" w:rsidTr="004850C2">
        <w:trPr>
          <w:trHeight w:val="1060"/>
        </w:trPr>
        <w:tc>
          <w:tcPr>
            <w:tcW w:w="2410" w:type="dxa"/>
            <w:tcBorders>
              <w:top w:val="single" w:sz="8" w:space="0" w:color="auto"/>
              <w:left w:val="single" w:sz="8" w:space="0" w:color="auto"/>
              <w:bottom w:val="single" w:sz="8" w:space="0" w:color="auto"/>
              <w:right w:val="nil"/>
            </w:tcBorders>
            <w:noWrap/>
            <w:hideMark/>
          </w:tcPr>
          <w:p w:rsidR="004850C2" w:rsidRDefault="004850C2">
            <w:pPr>
              <w:rPr>
                <w:rFonts w:ascii="Barlow Medium" w:eastAsia="Times New Roman" w:hAnsi="Barlow Medium" w:cs="Arial"/>
                <w:iCs/>
                <w:color w:val="222222"/>
                <w:sz w:val="20"/>
                <w:szCs w:val="20"/>
              </w:rPr>
            </w:pPr>
            <w:r>
              <w:rPr>
                <w:rFonts w:ascii="Barlow Medium" w:eastAsia="Times New Roman" w:hAnsi="Barlow Medium" w:cs="Arial"/>
                <w:iCs/>
                <w:color w:val="222222"/>
                <w:sz w:val="20"/>
                <w:szCs w:val="20"/>
              </w:rPr>
              <w:t>Acceso a la información pública</w:t>
            </w:r>
          </w:p>
        </w:tc>
        <w:tc>
          <w:tcPr>
            <w:tcW w:w="6379" w:type="dxa"/>
            <w:tcBorders>
              <w:top w:val="single" w:sz="8" w:space="0" w:color="auto"/>
              <w:left w:val="nil"/>
              <w:bottom w:val="single" w:sz="8" w:space="0" w:color="auto"/>
              <w:right w:val="single" w:sz="8" w:space="0" w:color="auto"/>
            </w:tcBorders>
            <w:noWrap/>
            <w:hideMark/>
          </w:tcPr>
          <w:p w:rsidR="004850C2" w:rsidRDefault="004850C2">
            <w:pPr>
              <w:jc w:val="both"/>
              <w:rPr>
                <w:rFonts w:ascii="Barlow Medium" w:eastAsia="Times New Roman" w:hAnsi="Barlow Medium" w:cs="Arial"/>
                <w:color w:val="222222"/>
                <w:sz w:val="20"/>
                <w:szCs w:val="20"/>
              </w:rPr>
            </w:pPr>
            <w:r>
              <w:rPr>
                <w:rFonts w:ascii="Barlow Medium" w:eastAsia="Times New Roman" w:hAnsi="Barlow Medium" w:cs="Arial"/>
                <w:color w:val="222222"/>
                <w:sz w:val="20"/>
                <w:szCs w:val="20"/>
              </w:rPr>
              <w:t>Acciones, funciones y organizaciones encargadas de cerrar la brecha de acceso a la información pública por parte de las mujeres. Incluye la promoción específica de información gubernamental dirigida a mujeres.</w:t>
            </w:r>
          </w:p>
        </w:tc>
      </w:tr>
    </w:tbl>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lang w:eastAsia="es-MX"/>
        </w:rPr>
      </w:pPr>
      <w:r>
        <w:rPr>
          <w:rFonts w:ascii="Barlow Medium" w:eastAsia="Times New Roman" w:hAnsi="Barlow Medium" w:cs="Arial"/>
          <w:color w:val="222222"/>
        </w:rPr>
        <w:t xml:space="preserve">Para desarrollar las categorías de análisis para la asignación de los recursos, se hizo una revisión y adaptación de las categorías utilizadas en la metodología elaborada por el Fondo de </w:t>
      </w:r>
      <w:r>
        <w:rPr>
          <w:rFonts w:ascii="Barlow Medium" w:eastAsia="Times New Roman" w:hAnsi="Barlow Medium" w:cs="Arial"/>
          <w:color w:val="222222"/>
        </w:rPr>
        <w:lastRenderedPageBreak/>
        <w:t>las Naciones Unidas para la Infancia (Unicef) en el análisis de la inversión en infancia y adolescencia</w:t>
      </w:r>
      <w:r>
        <w:rPr>
          <w:rFonts w:ascii="Barlow Medium" w:eastAsia="Times New Roman" w:hAnsi="Barlow Medium" w:cs="Arial"/>
          <w:color w:val="222222"/>
          <w:vertAlign w:val="superscript"/>
        </w:rPr>
        <w:footnoteReference w:id="14"/>
      </w:r>
      <w:r>
        <w:rPr>
          <w:rFonts w:ascii="Barlow Medium" w:eastAsia="Times New Roman" w:hAnsi="Barlow Medium" w:cs="Arial"/>
          <w:color w:val="222222"/>
        </w:rPr>
        <w:t xml:space="preserve">. A fin de hacer un adecuado análisis de las asignaciones presupuestales para la igualdad entre mujeres y hombres, se establecieron las siguientes: </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específica</w:t>
      </w:r>
      <w:r>
        <w:rPr>
          <w:rFonts w:ascii="Barlow Medium" w:eastAsia="Times New Roman" w:hAnsi="Barlow Medium" w:cs="Arial"/>
          <w:color w:val="222222"/>
        </w:rPr>
        <w:t>. Es la destinada a aquellas UBP que entregan bienes o servicios directamente a las mujeres para asegurar el cumplimiento de sus derechos.</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específica para la igualdad</w:t>
      </w:r>
      <w:r>
        <w:rPr>
          <w:rFonts w:ascii="Barlow Medium" w:eastAsia="Times New Roman" w:hAnsi="Barlow Medium" w:cs="Arial"/>
          <w:color w:val="222222"/>
        </w:rPr>
        <w:t>. Aquella destinada a las UBP que proveen bienes y servicios a la población en general con el objetivo de reducir las brechas de género; por ejemplo, campañas de difusión de derechos de la mujer, la aplicación de medidas afirmativas</w:t>
      </w:r>
      <w:r>
        <w:rPr>
          <w:color w:val="222222"/>
          <w:vertAlign w:val="superscript"/>
        </w:rPr>
        <w:footnoteReference w:id="15"/>
      </w:r>
      <w:r>
        <w:rPr>
          <w:rFonts w:ascii="Barlow Medium" w:eastAsia="Times New Roman" w:hAnsi="Barlow Medium" w:cs="Arial"/>
          <w:color w:val="222222"/>
        </w:rPr>
        <w:t>, o la implementación de acciones para la transversalización de la perspectiva de género en programas públicos.</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agéntica</w:t>
      </w:r>
      <w:r>
        <w:rPr>
          <w:rFonts w:ascii="Barlow Medium" w:eastAsia="Times New Roman" w:hAnsi="Barlow Medium" w:cs="Arial"/>
          <w:color w:val="222222"/>
        </w:rPr>
        <w:t>. La destinada a aquellas UBP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ampliada</w:t>
      </w:r>
      <w:r>
        <w:rPr>
          <w:rFonts w:ascii="Barlow Medium" w:eastAsia="Times New Roman" w:hAnsi="Barlow Medium" w:cs="Arial"/>
          <w:color w:val="222222"/>
        </w:rPr>
        <w:t xml:space="preserve">. Se refiere al presupuesto asignado a aquellas UBP que atienden a grupos donde las mujeres representan una fracción significativa de la población objetivo y atendida. </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en programas y proyectos que incluyen acciones de género</w:t>
      </w:r>
      <w:r>
        <w:rPr>
          <w:rFonts w:ascii="Barlow Medium" w:eastAsia="Times New Roman" w:hAnsi="Barlow Medium" w:cs="Arial"/>
          <w:color w:val="222222"/>
        </w:rPr>
        <w:t xml:space="preserve">. Se consideran aquellas UBP que incluyen alguna acción o actividad relacionada con la política de la igualdad de género, sin que esto signifique que estén diseñadas con perspectiva de género. </w:t>
      </w:r>
    </w:p>
    <w:p w:rsidR="004850C2" w:rsidRDefault="004850C2" w:rsidP="00E22205">
      <w:pPr>
        <w:numPr>
          <w:ilvl w:val="0"/>
          <w:numId w:val="39"/>
        </w:numPr>
        <w:shd w:val="clear" w:color="auto" w:fill="FFFFFF"/>
        <w:spacing w:before="100" w:beforeAutospacing="1" w:after="100" w:afterAutospacing="1" w:line="276" w:lineRule="auto"/>
        <w:jc w:val="both"/>
        <w:rPr>
          <w:rFonts w:ascii="Barlow Medium" w:eastAsia="Times New Roman" w:hAnsi="Barlow Medium" w:cs="Arial"/>
          <w:color w:val="222222"/>
        </w:rPr>
      </w:pPr>
      <w:r>
        <w:rPr>
          <w:rFonts w:ascii="Barlow Medium" w:eastAsia="Times New Roman" w:hAnsi="Barlow Medium" w:cs="Arial"/>
          <w:i/>
          <w:color w:val="222222"/>
        </w:rPr>
        <w:t>Inversión en bienes públicos</w:t>
      </w:r>
      <w:r>
        <w:rPr>
          <w:rFonts w:ascii="Barlow Medium" w:eastAsia="Times New Roman" w:hAnsi="Barlow Medium" w:cs="Arial"/>
          <w:color w:val="222222"/>
        </w:rPr>
        <w:t>. Es la destinada a la provisión o financiamiento de bienes que son monopolio natural del Estado, o servicios prestados de forma abierta a la sociedad que hayan estado al menos parcialmente diseñados para atender necesidades específicas de las mujeres.</w:t>
      </w:r>
    </w:p>
    <w:p w:rsidR="004850C2" w:rsidRDefault="004850C2" w:rsidP="004850C2">
      <w:pPr>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se decidió no hacerlo </w:t>
      </w:r>
      <w:r>
        <w:rPr>
          <w:rFonts w:ascii="Barlow Medium" w:eastAsia="Times New Roman" w:hAnsi="Barlow Medium" w:cs="Arial"/>
          <w:color w:val="222222"/>
        </w:rPr>
        <w:lastRenderedPageBreak/>
        <w:t xml:space="preserve">ya que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rsidR="004850C2" w:rsidRDefault="004850C2" w:rsidP="004850C2">
      <w:pPr>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En este sentido, vale la pena destacar que esta metodología se encuentra en desarrollo, por lo que será mejorada gradualmente, conforme se vaya probando técnicamente la utilidad de la información que proporciona.</w:t>
      </w:r>
    </w:p>
    <w:p w:rsidR="004850C2" w:rsidRDefault="004850C2" w:rsidP="004850C2">
      <w:pPr>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Nuevamente, se realizó un análisis de la inversión realizada por el Estado que contribuye al cumplimiento de las metas establecidas en los Objetivos de Desarrollo Sostenible (ODS). Estos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Pr>
          <w:rFonts w:ascii="Barlow Medium" w:eastAsia="Times New Roman" w:hAnsi="Barlow Medium" w:cs="Arial"/>
          <w:color w:val="222222"/>
          <w:vertAlign w:val="superscript"/>
        </w:rPr>
        <w:footnoteReference w:id="16"/>
      </w:r>
      <w:r>
        <w:rPr>
          <w:rFonts w:ascii="Barlow Medium" w:eastAsia="Times New Roman" w:hAnsi="Barlow Medium" w:cs="Arial"/>
          <w:color w:val="222222"/>
        </w:rPr>
        <w:t xml:space="preserve">. </w:t>
      </w:r>
    </w:p>
    <w:p w:rsidR="004850C2" w:rsidRDefault="004850C2" w:rsidP="004850C2">
      <w:pPr>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Al formar parte de los compromisos internacionales adquiridos por México, es relevante analizar las asignaciones presupuestales para el cumplimiento de los ODS y sus respectivas metas. Para ello, se revisó cada una de las Unidades Básicas de Presupuestación identificadas en los pasos anteriores, y se procedió a revisar su información para clasificarlas de acuerdo al objetivo con el que se relacionan.</w:t>
      </w:r>
    </w:p>
    <w:p w:rsidR="004850C2" w:rsidRDefault="004850C2" w:rsidP="004850C2">
      <w:pPr>
        <w:spacing w:before="100" w:beforeAutospacing="1" w:after="100" w:afterAutospacing="1"/>
        <w:jc w:val="both"/>
        <w:rPr>
          <w:rFonts w:ascii="Barlow Medium" w:eastAsia="Times New Roman" w:hAnsi="Barlow Medium" w:cs="Arial"/>
          <w:color w:val="222222"/>
        </w:rPr>
      </w:pPr>
      <w:r>
        <w:rPr>
          <w:rFonts w:ascii="Barlow Medium" w:eastAsia="Times New Roman" w:hAnsi="Barlow Medium" w:cs="Arial"/>
          <w:color w:val="222222"/>
        </w:rPr>
        <w:t xml:space="preserve">Finalmente, para continuar con la atención de las recomendaciones derivadas del  </w:t>
      </w:r>
      <w:r>
        <w:rPr>
          <w:rFonts w:ascii="Barlow Medium" w:eastAsia="Times New Roman" w:hAnsi="Barlow Medium" w:cs="Arial"/>
          <w:i/>
          <w:color w:val="222222"/>
        </w:rPr>
        <w:t>Informe del grupo de trabajo conformado para atender la solicitud AVGM/03/2017 de alerta de violencia de género contra las mujeres en el estado de Yucatán</w:t>
      </w:r>
      <w:r>
        <w:rPr>
          <w:rFonts w:ascii="Barlow Medium" w:eastAsia="Times New Roman" w:hAnsi="Barlow Medium" w:cs="Arial"/>
          <w:color w:val="222222"/>
          <w:vertAlign w:val="superscript"/>
        </w:rPr>
        <w:footnoteReference w:id="17"/>
      </w:r>
      <w:r>
        <w:rPr>
          <w:rFonts w:ascii="Barlow Medium" w:eastAsia="Times New Roman" w:hAnsi="Barlow Medium" w:cs="Arial"/>
          <w:color w:val="222222"/>
        </w:rPr>
        <w:t xml:space="preserve">, se emitieron los criterios generales para su integración en el anteproyecto de presupuesto de egresos 2019. </w:t>
      </w:r>
    </w:p>
    <w:p w:rsidR="004850C2" w:rsidRDefault="004850C2" w:rsidP="004850C2">
      <w:pPr>
        <w:shd w:val="clear" w:color="auto" w:fill="FFFFFF"/>
        <w:spacing w:before="100" w:beforeAutospacing="1" w:after="100" w:afterAutospacing="1" w:line="360" w:lineRule="auto"/>
        <w:contextualSpacing/>
        <w:jc w:val="both"/>
        <w:rPr>
          <w:rFonts w:ascii="Barlow Medium" w:eastAsia="Times New Roman" w:hAnsi="Barlow Medium" w:cs="Arial"/>
          <w:b/>
          <w:color w:val="222222"/>
        </w:rPr>
      </w:pPr>
      <w:r>
        <w:rPr>
          <w:rFonts w:ascii="Barlow Medium" w:eastAsia="Times New Roman" w:hAnsi="Barlow Medium" w:cs="Arial"/>
          <w:b/>
          <w:color w:val="222222"/>
        </w:rPr>
        <w:t>Análisis de resultados</w:t>
      </w:r>
    </w:p>
    <w:p w:rsidR="004850C2" w:rsidRDefault="004850C2" w:rsidP="004850C2">
      <w:pPr>
        <w:spacing w:before="100" w:beforeAutospacing="1" w:after="100" w:afterAutospacing="1"/>
        <w:jc w:val="both"/>
        <w:rPr>
          <w:rFonts w:ascii="Barlow Medium" w:eastAsiaTheme="minorHAnsi" w:hAnsi="Barlow Medium" w:cs="Arial"/>
          <w:color w:val="000000"/>
          <w:lang w:eastAsia="en-US"/>
        </w:rPr>
      </w:pPr>
      <w:r>
        <w:rPr>
          <w:rFonts w:ascii="Barlow Medium" w:eastAsiaTheme="minorHAnsi" w:hAnsi="Barlow Medium" w:cs="Arial"/>
          <w:color w:val="000000"/>
          <w:lang w:eastAsia="en-US"/>
        </w:rPr>
        <w:t>En el Proyecto del Presupuesto de Egresos del 2019, se asignaron</w:t>
      </w:r>
      <w:r>
        <w:rPr>
          <w:rFonts w:ascii="Barlow Medium" w:eastAsiaTheme="minorHAnsi" w:hAnsi="Barlow Medium" w:cs="Arial"/>
          <w:b/>
          <w:color w:val="000000"/>
          <w:lang w:eastAsia="en-US"/>
        </w:rPr>
        <w:t xml:space="preserve"> </w:t>
      </w:r>
      <w:r>
        <w:rPr>
          <w:rFonts w:ascii="Barlow Medium" w:eastAsiaTheme="minorHAnsi" w:hAnsi="Barlow Medium" w:cs="Arial"/>
          <w:b/>
          <w:lang w:eastAsia="en-US"/>
        </w:rPr>
        <w:t xml:space="preserve">747 millones 482 mil 974 </w:t>
      </w:r>
      <w:r>
        <w:rPr>
          <w:rFonts w:ascii="Barlow Medium" w:eastAsiaTheme="minorHAnsi" w:hAnsi="Barlow Medium" w:cs="Arial"/>
          <w:b/>
          <w:color w:val="000000"/>
          <w:lang w:eastAsia="en-US"/>
        </w:rPr>
        <w:t>pesos</w:t>
      </w:r>
      <w:r>
        <w:rPr>
          <w:rFonts w:ascii="Barlow Medium" w:eastAsiaTheme="minorHAnsi" w:hAnsi="Barlow Medium" w:cs="Arial"/>
          <w:color w:val="000000"/>
          <w:lang w:eastAsia="en-US"/>
        </w:rPr>
        <w:t xml:space="preserve"> a programas y acciones dirigidas para al cumplimiento de los derechos de las mujeres y la igualdad de género, lo que representa</w:t>
      </w:r>
      <w:r>
        <w:rPr>
          <w:rFonts w:ascii="Barlow Medium" w:eastAsiaTheme="minorHAnsi" w:hAnsi="Barlow Medium" w:cs="Arial"/>
          <w:lang w:eastAsia="en-US"/>
        </w:rPr>
        <w:t xml:space="preserve"> 1.84% </w:t>
      </w:r>
      <w:r>
        <w:rPr>
          <w:rFonts w:ascii="Barlow Medium" w:eastAsiaTheme="minorHAnsi" w:hAnsi="Barlow Medium" w:cs="Arial"/>
          <w:color w:val="000000"/>
          <w:lang w:eastAsia="en-US"/>
        </w:rPr>
        <w:t xml:space="preserve">del total del presupuesto estatal y </w:t>
      </w:r>
      <w:r>
        <w:rPr>
          <w:rFonts w:ascii="Barlow Medium" w:eastAsiaTheme="minorHAnsi" w:hAnsi="Barlow Medium" w:cs="Arial"/>
          <w:lang w:eastAsia="en-US"/>
        </w:rPr>
        <w:t xml:space="preserve">2.3% </w:t>
      </w:r>
      <w:r>
        <w:rPr>
          <w:rFonts w:ascii="Barlow Medium" w:eastAsiaTheme="minorHAnsi" w:hAnsi="Barlow Medium" w:cs="Arial"/>
          <w:color w:val="000000"/>
          <w:lang w:eastAsia="en-US"/>
        </w:rPr>
        <w:t xml:space="preserve">del gasto programable (Gráfica 1). </w:t>
      </w:r>
    </w:p>
    <w:p w:rsidR="004850C2" w:rsidRDefault="004850C2" w:rsidP="004850C2">
      <w:pPr>
        <w:keepNext/>
        <w:jc w:val="center"/>
        <w:rPr>
          <w:rFonts w:ascii="Barlow Medium" w:eastAsiaTheme="minorHAnsi" w:hAnsi="Barlow Medium" w:cs="Arial"/>
          <w:b/>
          <w:bCs/>
          <w:lang w:eastAsia="en-US"/>
        </w:rPr>
      </w:pPr>
      <w:r>
        <w:rPr>
          <w:rFonts w:ascii="Barlow Medium" w:eastAsiaTheme="minorHAnsi" w:hAnsi="Barlow Medium" w:cs="Arial"/>
          <w:b/>
          <w:bCs/>
          <w:lang w:eastAsia="en-US"/>
        </w:rPr>
        <w:lastRenderedPageBreak/>
        <w:t>Gráfica 1. Asignaciones presupuestales para la igualdad entre mujeres y hombres</w:t>
      </w:r>
    </w:p>
    <w:p w:rsidR="004850C2" w:rsidRDefault="004850C2" w:rsidP="004850C2">
      <w:pPr>
        <w:jc w:val="center"/>
        <w:rPr>
          <w:rFonts w:ascii="Barlow Medium" w:eastAsiaTheme="minorHAnsi" w:hAnsi="Barlow Medium" w:cs="Arial"/>
          <w:lang w:eastAsia="en-US"/>
        </w:rPr>
      </w:pPr>
      <w:r>
        <w:rPr>
          <w:rFonts w:ascii="Barlow Medium" w:eastAsiaTheme="minorHAnsi" w:hAnsi="Barlow Medium" w:cs="Arial"/>
          <w:noProof/>
          <w:lang w:val="es-MX" w:eastAsia="es-MX"/>
        </w:rPr>
        <w:drawing>
          <wp:inline distT="0" distB="0" distL="0" distR="0">
            <wp:extent cx="3225165" cy="233997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165" cy="2339975"/>
                    </a:xfrm>
                    <a:prstGeom prst="rect">
                      <a:avLst/>
                    </a:prstGeom>
                    <a:noFill/>
                    <a:ln>
                      <a:noFill/>
                    </a:ln>
                  </pic:spPr>
                </pic:pic>
              </a:graphicData>
            </a:graphic>
          </wp:inline>
        </w:drawing>
      </w:r>
    </w:p>
    <w:p w:rsidR="004850C2" w:rsidRDefault="004850C2" w:rsidP="004850C2">
      <w:pPr>
        <w:rPr>
          <w:rFonts w:ascii="Barlow Medium" w:eastAsiaTheme="minorHAnsi" w:hAnsi="Barlow Medium" w:cs="Arial"/>
          <w:lang w:eastAsia="en-US"/>
        </w:rPr>
      </w:pPr>
    </w:p>
    <w:p w:rsidR="004850C2" w:rsidRDefault="004850C2" w:rsidP="004850C2">
      <w:pPr>
        <w:spacing w:before="100" w:beforeAutospacing="1" w:after="100" w:afterAutospacing="1"/>
        <w:jc w:val="both"/>
        <w:rPr>
          <w:rFonts w:ascii="Barlow Medium" w:eastAsiaTheme="minorHAnsi" w:hAnsi="Barlow Medium" w:cs="Arial"/>
          <w:color w:val="000000"/>
          <w:lang w:eastAsia="en-US"/>
        </w:rPr>
      </w:pPr>
      <w:r>
        <w:rPr>
          <w:rFonts w:ascii="Barlow Medium" w:eastAsiaTheme="minorHAnsi" w:hAnsi="Barlow Medium" w:cs="Arial"/>
          <w:color w:val="000000"/>
          <w:lang w:eastAsia="en-US"/>
        </w:rPr>
        <w:t xml:space="preserve">Cabe destacar que en el Anexo de erogaciones para la igualdad entre mujeres y hombres del presupuesto federal 2019 se muestra una asignación presupuestaria destinada a este ámbito que representa el </w:t>
      </w:r>
      <w:r>
        <w:rPr>
          <w:rFonts w:ascii="Barlow Medium" w:eastAsiaTheme="minorHAnsi" w:hAnsi="Barlow Medium" w:cs="Arial"/>
          <w:lang w:eastAsia="en-US"/>
        </w:rPr>
        <w:t xml:space="preserve">1.2% </w:t>
      </w:r>
      <w:r>
        <w:rPr>
          <w:rFonts w:ascii="Barlow Medium" w:eastAsiaTheme="minorHAnsi" w:hAnsi="Barlow Medium" w:cs="Arial"/>
          <w:color w:val="000000"/>
          <w:lang w:eastAsia="en-US"/>
        </w:rPr>
        <w:t>del gasto total federal.</w:t>
      </w:r>
    </w:p>
    <w:p w:rsidR="004850C2" w:rsidRDefault="004850C2" w:rsidP="004850C2">
      <w:pPr>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En los resultados del análisis de la asignación presupuestaria destinada a los derechos de la mujer, se encontró que el derecho a la salud representa la mayor inversión en el estado, con 49.6% del presupuesto para la igualdad entre mujeres y hombres; en segundo lugar se encuentra el derecho a una vida libre de violencia con 34.7%, seguido del derecho al desarrollo con 12% (Gráfica 2).</w:t>
      </w:r>
    </w:p>
    <w:p w:rsidR="004850C2" w:rsidRDefault="004850C2" w:rsidP="004850C2">
      <w:pPr>
        <w:keepNext/>
        <w:jc w:val="center"/>
        <w:rPr>
          <w:rFonts w:ascii="Barlow Medium" w:eastAsiaTheme="minorHAnsi" w:hAnsi="Barlow Medium" w:cs="Arial"/>
          <w:b/>
          <w:bCs/>
          <w:lang w:eastAsia="en-US"/>
        </w:rPr>
      </w:pPr>
      <w:r>
        <w:rPr>
          <w:rFonts w:ascii="Barlow Medium" w:eastAsiaTheme="minorHAnsi" w:hAnsi="Barlow Medium" w:cs="Arial"/>
          <w:b/>
          <w:bCs/>
          <w:lang w:eastAsia="en-US"/>
        </w:rPr>
        <w:t>Gráfica 2. Distribución del presupuesto para la igualdad según derecho de la mujer</w:t>
      </w:r>
    </w:p>
    <w:p w:rsidR="004850C2" w:rsidRDefault="004850C2" w:rsidP="004850C2">
      <w:pPr>
        <w:jc w:val="center"/>
        <w:rPr>
          <w:rFonts w:ascii="Barlow Medium" w:eastAsiaTheme="minorHAnsi" w:hAnsi="Barlow Medium" w:cs="Arial"/>
          <w:lang w:eastAsia="en-US"/>
        </w:rPr>
      </w:pPr>
      <w:r>
        <w:rPr>
          <w:noProof/>
          <w:sz w:val="22"/>
          <w:szCs w:val="22"/>
          <w:lang w:val="es-MX" w:eastAsia="es-MX"/>
        </w:rPr>
        <w:drawing>
          <wp:anchor distT="0" distB="0" distL="114300" distR="114300" simplePos="0" relativeHeight="251668480" behindDoc="1" locked="0" layoutInCell="1" allowOverlap="1">
            <wp:simplePos x="0" y="0"/>
            <wp:positionH relativeFrom="column">
              <wp:posOffset>80010</wp:posOffset>
            </wp:positionH>
            <wp:positionV relativeFrom="paragraph">
              <wp:posOffset>51435</wp:posOffset>
            </wp:positionV>
            <wp:extent cx="5405755" cy="3926205"/>
            <wp:effectExtent l="0" t="0" r="444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5755" cy="3926205"/>
                    </a:xfrm>
                    <a:prstGeom prst="rect">
                      <a:avLst/>
                    </a:prstGeom>
                    <a:noFill/>
                  </pic:spPr>
                </pic:pic>
              </a:graphicData>
            </a:graphic>
          </wp:anchor>
        </w:drawing>
      </w:r>
    </w:p>
    <w:p w:rsidR="004850C2" w:rsidRDefault="004850C2" w:rsidP="004850C2">
      <w:pPr>
        <w:spacing w:before="100" w:beforeAutospacing="1" w:after="100" w:afterAutospacing="1"/>
        <w:jc w:val="both"/>
        <w:rPr>
          <w:rFonts w:ascii="Barlow Medium" w:eastAsia="Times New Roman" w:hAnsi="Barlow Medium" w:cs="Arial"/>
          <w:color w:val="222222"/>
          <w:lang w:eastAsia="es-MX"/>
        </w:rPr>
      </w:pPr>
      <w:r>
        <w:rPr>
          <w:rFonts w:ascii="Barlow Medium" w:eastAsiaTheme="minorHAnsi" w:hAnsi="Barlow Medium" w:cs="Arial"/>
          <w:lang w:eastAsia="en-US"/>
        </w:rPr>
        <w:t xml:space="preserve">A partir de la clasificación del presupuesto asignado por derecho, se hizo una alineación a los </w:t>
      </w:r>
      <w:r>
        <w:rPr>
          <w:rFonts w:ascii="Barlow Medium" w:eastAsia="Times New Roman" w:hAnsi="Barlow Medium" w:cs="Arial"/>
          <w:color w:val="222222"/>
        </w:rPr>
        <w:t>temas que serán atendidos durante 2019 (Tabla 1).</w:t>
      </w: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Tabla 1. Clasificación por derecho de la mujer y temática</w:t>
      </w:r>
    </w:p>
    <w:p w:rsidR="004850C2" w:rsidRDefault="004850C2" w:rsidP="004850C2">
      <w:pPr>
        <w:rPr>
          <w:rFonts w:ascii="Barlow Medium" w:eastAsiaTheme="minorHAnsi" w:hAnsi="Barlow Medium" w:cs="Arial"/>
          <w:lang w:eastAsia="en-US"/>
        </w:rPr>
      </w:pPr>
    </w:p>
    <w:tbl>
      <w:tblPr>
        <w:tblW w:w="9658" w:type="dxa"/>
        <w:tblInd w:w="55" w:type="dxa"/>
        <w:tblCellMar>
          <w:left w:w="70" w:type="dxa"/>
          <w:right w:w="70" w:type="dxa"/>
        </w:tblCellMar>
        <w:tblLook w:val="04A0"/>
      </w:tblPr>
      <w:tblGrid>
        <w:gridCol w:w="3237"/>
        <w:gridCol w:w="4509"/>
        <w:gridCol w:w="1912"/>
      </w:tblGrid>
      <w:tr w:rsidR="004850C2" w:rsidTr="004850C2">
        <w:trPr>
          <w:trHeight w:val="374"/>
        </w:trPr>
        <w:tc>
          <w:tcPr>
            <w:tcW w:w="7746" w:type="dxa"/>
            <w:gridSpan w:val="2"/>
            <w:shd w:val="clear" w:color="auto" w:fill="1F497D"/>
            <w:noWrap/>
            <w:vAlign w:val="bottom"/>
            <w:hideMark/>
          </w:tcPr>
          <w:p w:rsidR="004850C2" w:rsidRDefault="004850C2">
            <w:pPr>
              <w:rPr>
                <w:rFonts w:ascii="Barlow Medium" w:eastAsia="Times New Roman" w:hAnsi="Barlow Medium" w:cs="Times New Roman"/>
                <w:b/>
                <w:bCs/>
                <w:color w:val="FFFFFF"/>
                <w:sz w:val="20"/>
                <w:szCs w:val="20"/>
                <w:lang w:val="es-ES"/>
              </w:rPr>
            </w:pPr>
            <w:r>
              <w:rPr>
                <w:rFonts w:ascii="Barlow Medium" w:eastAsia="Times New Roman" w:hAnsi="Barlow Medium" w:cs="Times New Roman"/>
                <w:b/>
                <w:bCs/>
                <w:color w:val="FFFFFF"/>
                <w:sz w:val="20"/>
                <w:szCs w:val="20"/>
                <w:lang w:val="es-ES"/>
              </w:rPr>
              <w:t>Derechos de las mujeres/Temática</w:t>
            </w:r>
          </w:p>
        </w:tc>
        <w:tc>
          <w:tcPr>
            <w:tcW w:w="1912" w:type="dxa"/>
            <w:shd w:val="clear" w:color="auto" w:fill="1F497D"/>
            <w:noWrap/>
            <w:vAlign w:val="bottom"/>
            <w:hideMark/>
          </w:tcPr>
          <w:p w:rsidR="004850C2" w:rsidRDefault="004850C2">
            <w:pPr>
              <w:rPr>
                <w:rFonts w:ascii="Barlow Medium" w:eastAsia="Times New Roman" w:hAnsi="Barlow Medium" w:cs="Times New Roman"/>
                <w:color w:val="FFFFFF"/>
                <w:sz w:val="20"/>
                <w:szCs w:val="20"/>
                <w:lang w:val="es-ES"/>
              </w:rPr>
            </w:pPr>
            <w:r>
              <w:rPr>
                <w:rFonts w:ascii="Barlow Medium" w:eastAsia="Times New Roman" w:hAnsi="Barlow Medium" w:cs="Times New Roman"/>
                <w:color w:val="FFFFFF"/>
                <w:sz w:val="20"/>
                <w:szCs w:val="20"/>
                <w:lang w:val="es-ES"/>
              </w:rPr>
              <w:t xml:space="preserve"> Monto (pesos)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 la educación</w:t>
            </w:r>
          </w:p>
        </w:tc>
        <w:tc>
          <w:tcPr>
            <w:tcW w:w="4509"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5,947,494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lastRenderedPageBreak/>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Permanencia</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4,924,140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Calidad</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1,023,354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 la salud</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370,550,066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Acceso a servicios de salud de calidad</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878,250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Servicios integrales de salud</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38,734,507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Servicios específicos para la mujer</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328,454,728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Nutrición y alimentación para la mujer</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2,482,581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Derechos sexuales y reproductivos</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1,846,580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Educación sexual</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1,000,000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Planificación familiar</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846,580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 una vida libre de violencia</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259,234,217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Prevención</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41,671,560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Atención</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216,092,657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Impartición de justicia</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1,470,000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al trabajo</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16,094,961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Igualdad de oportunidades</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16,094,961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al desarrollo</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89,666,456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Acceso equitativo a los beneficios del desarrollo</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33,022,203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Vivienda</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43,163,094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Acceso al crédito para la actividad económica</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6,496,788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Asistencia social</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6,984,371 </w:t>
            </w:r>
          </w:p>
        </w:tc>
      </w:tr>
      <w:tr w:rsidR="004850C2" w:rsidTr="004850C2">
        <w:trPr>
          <w:trHeight w:val="374"/>
        </w:trPr>
        <w:tc>
          <w:tcPr>
            <w:tcW w:w="3237"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Derecho a la información</w:t>
            </w:r>
          </w:p>
        </w:tc>
        <w:tc>
          <w:tcPr>
            <w:tcW w:w="4509" w:type="dxa"/>
            <w:shd w:val="clear" w:color="auto" w:fill="D9D9D9"/>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1912" w:type="dxa"/>
            <w:shd w:val="clear" w:color="auto" w:fill="D9D9D9"/>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4,143,200 </w:t>
            </w:r>
          </w:p>
        </w:tc>
      </w:tr>
      <w:tr w:rsidR="004850C2" w:rsidTr="004850C2">
        <w:trPr>
          <w:trHeight w:val="374"/>
        </w:trPr>
        <w:tc>
          <w:tcPr>
            <w:tcW w:w="323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w:t>
            </w:r>
          </w:p>
        </w:tc>
        <w:tc>
          <w:tcPr>
            <w:tcW w:w="4509" w:type="dxa"/>
            <w:shd w:val="clear" w:color="auto" w:fill="F2F2F2"/>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Medios masivos de comunicación</w:t>
            </w:r>
          </w:p>
        </w:tc>
        <w:tc>
          <w:tcPr>
            <w:tcW w:w="1912"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4,042,000 </w:t>
            </w:r>
          </w:p>
        </w:tc>
      </w:tr>
      <w:tr w:rsidR="004850C2" w:rsidTr="004850C2">
        <w:trPr>
          <w:trHeight w:val="374"/>
        </w:trPr>
        <w:tc>
          <w:tcPr>
            <w:tcW w:w="3237" w:type="dxa"/>
            <w:noWrap/>
            <w:vAlign w:val="bottom"/>
            <w:hideMark/>
          </w:tcPr>
          <w:p w:rsidR="004850C2" w:rsidRDefault="004850C2">
            <w:pPr>
              <w:rPr>
                <w:rFonts w:ascii="Barlow Medium" w:eastAsia="Times New Roman" w:hAnsi="Barlow Medium" w:cs="Times New Roman"/>
                <w:color w:val="000000"/>
                <w:sz w:val="20"/>
                <w:szCs w:val="20"/>
                <w:lang w:val="es-ES"/>
              </w:rPr>
            </w:pPr>
          </w:p>
        </w:tc>
        <w:tc>
          <w:tcPr>
            <w:tcW w:w="4509" w:type="dxa"/>
            <w:noWrap/>
            <w:vAlign w:val="bottom"/>
            <w:hideMark/>
          </w:tcPr>
          <w:p w:rsidR="004850C2" w:rsidRDefault="004850C2">
            <w:pPr>
              <w:jc w:val="right"/>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Espacios de libertad de expresión para las mujeres</w:t>
            </w:r>
          </w:p>
        </w:tc>
        <w:tc>
          <w:tcPr>
            <w:tcW w:w="1912"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101,200 </w:t>
            </w:r>
          </w:p>
        </w:tc>
      </w:tr>
      <w:tr w:rsidR="004850C2" w:rsidTr="004850C2">
        <w:trPr>
          <w:trHeight w:val="374"/>
        </w:trPr>
        <w:tc>
          <w:tcPr>
            <w:tcW w:w="7746" w:type="dxa"/>
            <w:gridSpan w:val="2"/>
            <w:shd w:val="clear" w:color="auto" w:fill="D9D9D9"/>
            <w:noWrap/>
            <w:vAlign w:val="bottom"/>
            <w:hideMark/>
          </w:tcPr>
          <w:p w:rsidR="004850C2" w:rsidRDefault="004850C2">
            <w:pPr>
              <w:jc w:val="center"/>
              <w:rPr>
                <w:rFonts w:ascii="Barlow Medium" w:eastAsia="Times New Roman" w:hAnsi="Barlow Medium" w:cs="Times New Roman"/>
                <w:b/>
                <w:bCs/>
                <w:color w:val="000000"/>
                <w:sz w:val="20"/>
                <w:szCs w:val="20"/>
                <w:lang w:val="es-ES"/>
              </w:rPr>
            </w:pPr>
            <w:r>
              <w:rPr>
                <w:rFonts w:ascii="Barlow Medium" w:eastAsia="Times New Roman" w:hAnsi="Barlow Medium" w:cs="Times New Roman"/>
                <w:b/>
                <w:bCs/>
                <w:color w:val="000000"/>
                <w:sz w:val="20"/>
                <w:szCs w:val="20"/>
                <w:lang w:val="es-ES"/>
              </w:rPr>
              <w:t>Total general</w:t>
            </w:r>
          </w:p>
        </w:tc>
        <w:tc>
          <w:tcPr>
            <w:tcW w:w="1912" w:type="dxa"/>
            <w:shd w:val="clear" w:color="auto" w:fill="D9D9D9"/>
            <w:noWrap/>
            <w:vAlign w:val="bottom"/>
            <w:hideMark/>
          </w:tcPr>
          <w:p w:rsidR="004850C2" w:rsidRDefault="004850C2">
            <w:pPr>
              <w:rPr>
                <w:rFonts w:ascii="Barlow Medium" w:eastAsia="Times New Roman" w:hAnsi="Barlow Medium" w:cs="Times New Roman"/>
                <w:b/>
                <w:bCs/>
                <w:color w:val="000000"/>
                <w:sz w:val="20"/>
                <w:szCs w:val="20"/>
                <w:lang w:val="es-ES"/>
              </w:rPr>
            </w:pPr>
            <w:r>
              <w:rPr>
                <w:rFonts w:ascii="Barlow Medium" w:eastAsia="Times New Roman" w:hAnsi="Barlow Medium" w:cs="Times New Roman"/>
                <w:b/>
                <w:bCs/>
                <w:color w:val="000000"/>
                <w:sz w:val="20"/>
                <w:szCs w:val="20"/>
                <w:lang w:val="es-ES"/>
              </w:rPr>
              <w:t xml:space="preserve">          747,482,974 </w:t>
            </w:r>
          </w:p>
        </w:tc>
      </w:tr>
    </w:tbl>
    <w:p w:rsidR="004850C2" w:rsidRDefault="004850C2" w:rsidP="004850C2">
      <w:pPr>
        <w:shd w:val="clear" w:color="auto" w:fill="FFFFFF"/>
        <w:spacing w:before="100" w:beforeAutospacing="1" w:after="100" w:afterAutospacing="1"/>
        <w:jc w:val="both"/>
        <w:rPr>
          <w:rFonts w:ascii="Barlow Medium" w:eastAsiaTheme="minorHAnsi" w:hAnsi="Barlow Medium" w:cs="Arial"/>
          <w:lang w:val="es-MX"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 xml:space="preserve">Para complementar el análisis de los derechos de la mujer, se realizó la clasificación por especificidad de la inversión, lo que permite conocer su orientación de acuerdo a la población objetivo a la que se dirigen las intervenciones públicas. </w:t>
      </w:r>
    </w:p>
    <w:p w:rsidR="004850C2" w:rsidRDefault="004850C2" w:rsidP="004850C2">
      <w:pPr>
        <w:keepNext/>
        <w:jc w:val="center"/>
        <w:rPr>
          <w:rFonts w:ascii="Barlow Medium" w:eastAsiaTheme="minorHAnsi" w:hAnsi="Barlow Medium" w:cs="Arial"/>
          <w:b/>
          <w:bCs/>
          <w:lang w:eastAsia="en-US"/>
        </w:rPr>
      </w:pPr>
      <w:r>
        <w:rPr>
          <w:rFonts w:ascii="Barlow Medium" w:eastAsiaTheme="minorHAnsi" w:hAnsi="Barlow Medium" w:cs="Arial"/>
          <w:b/>
          <w:bCs/>
          <w:lang w:eastAsia="en-US"/>
        </w:rPr>
        <w:lastRenderedPageBreak/>
        <w:t>Gráfica 3. Distribución de acuerdo a la especificidad de la inversión</w:t>
      </w:r>
    </w:p>
    <w:p w:rsidR="004850C2" w:rsidRDefault="004850C2" w:rsidP="004850C2">
      <w:pPr>
        <w:shd w:val="clear" w:color="auto" w:fill="FFFFFF"/>
        <w:spacing w:before="100" w:beforeAutospacing="1" w:after="100" w:afterAutospacing="1"/>
        <w:jc w:val="both"/>
        <w:rPr>
          <w:rFonts w:ascii="Barlow Medium" w:eastAsiaTheme="minorHAnsi" w:hAnsi="Barlow Medium" w:cs="Arial"/>
          <w:noProof/>
          <w:lang w:val="es-ES"/>
        </w:rPr>
      </w:pPr>
      <w:r>
        <w:rPr>
          <w:noProof/>
          <w:sz w:val="22"/>
          <w:szCs w:val="22"/>
          <w:lang w:val="es-MX" w:eastAsia="es-MX"/>
        </w:rPr>
        <w:drawing>
          <wp:anchor distT="0" distB="0" distL="114300" distR="114300" simplePos="0" relativeHeight="251669504" behindDoc="1" locked="0" layoutInCell="1" allowOverlap="1">
            <wp:simplePos x="0" y="0"/>
            <wp:positionH relativeFrom="column">
              <wp:posOffset>-220980</wp:posOffset>
            </wp:positionH>
            <wp:positionV relativeFrom="paragraph">
              <wp:posOffset>113665</wp:posOffset>
            </wp:positionV>
            <wp:extent cx="5937250" cy="4312285"/>
            <wp:effectExtent l="0" t="0" r="6350" b="571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4312285"/>
                    </a:xfrm>
                    <a:prstGeom prst="rect">
                      <a:avLst/>
                    </a:prstGeom>
                    <a:noFill/>
                  </pic:spPr>
                </pic:pic>
              </a:graphicData>
            </a:graphic>
          </wp:anchor>
        </w:drawing>
      </w: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lang w:val="es-MX" w:eastAsia="es-MX"/>
        </w:rPr>
      </w:pPr>
      <w:r>
        <w:rPr>
          <w:rFonts w:ascii="Barlow Medium" w:eastAsiaTheme="minorHAnsi" w:hAnsi="Barlow Medium" w:cs="Arial"/>
          <w:lang w:eastAsia="en-US"/>
        </w:rPr>
        <w:t>La mayor inversión se refleja en inversión agéntica, lo que representa 36.8% de las erogaciones para la igualdad; por su parte, la inversión ampliada representa 28.9% del total</w:t>
      </w:r>
      <w:r>
        <w:rPr>
          <w:rFonts w:ascii="Barlow Medium" w:eastAsia="Times New Roman" w:hAnsi="Barlow Medium" w:cs="Arial"/>
          <w:color w:val="222222"/>
        </w:rPr>
        <w:t xml:space="preserve"> (Gráfica 3). </w:t>
      </w:r>
    </w:p>
    <w:p w:rsidR="004850C2" w:rsidRDefault="004850C2" w:rsidP="004850C2">
      <w:pPr>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Estas erogaciones presupuestales se distribuyen en 38 programas presupuestarios, los cuales se presentan de mayor a menor asignación de recursos en la siguiente tabla.</w:t>
      </w:r>
    </w:p>
    <w:p w:rsidR="004850C2" w:rsidRDefault="004850C2" w:rsidP="004850C2">
      <w:pPr>
        <w:spacing w:before="100" w:beforeAutospacing="1" w:after="100" w:afterAutospacing="1"/>
        <w:jc w:val="both"/>
        <w:rPr>
          <w:rFonts w:ascii="Barlow Medium" w:eastAsiaTheme="minorHAnsi" w:hAnsi="Barlow Medium" w:cs="Arial"/>
          <w:lang w:eastAsia="en-US"/>
        </w:rPr>
      </w:pPr>
    </w:p>
    <w:p w:rsidR="004850C2" w:rsidRDefault="004850C2" w:rsidP="004850C2">
      <w:pPr>
        <w:spacing w:before="100" w:beforeAutospacing="1" w:after="100" w:afterAutospacing="1"/>
        <w:jc w:val="both"/>
        <w:rPr>
          <w:rFonts w:ascii="Barlow Medium" w:eastAsiaTheme="minorHAnsi" w:hAnsi="Barlow Medium" w:cs="Arial"/>
          <w:lang w:eastAsia="en-US"/>
        </w:rPr>
      </w:pPr>
    </w:p>
    <w:p w:rsidR="004850C2" w:rsidRDefault="004850C2" w:rsidP="004850C2">
      <w:pPr>
        <w:spacing w:before="100" w:beforeAutospacing="1" w:after="100" w:afterAutospacing="1"/>
        <w:jc w:val="both"/>
        <w:rPr>
          <w:rFonts w:ascii="Barlow Medium" w:eastAsiaTheme="minorHAnsi" w:hAnsi="Barlow Medium" w:cs="Arial"/>
          <w:lang w:eastAsia="en-US"/>
        </w:rPr>
      </w:pP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Tabla 2.  Asignación por Programa Presupuestario</w:t>
      </w:r>
    </w:p>
    <w:p w:rsidR="004850C2" w:rsidRDefault="004850C2" w:rsidP="004850C2">
      <w:pPr>
        <w:rPr>
          <w:rFonts w:ascii="Barlow Medium" w:eastAsiaTheme="minorHAnsi" w:hAnsi="Barlow Medium" w:cs="Arial"/>
          <w:lang w:eastAsia="en-US"/>
        </w:rPr>
      </w:pPr>
    </w:p>
    <w:tbl>
      <w:tblPr>
        <w:tblW w:w="8608" w:type="dxa"/>
        <w:tblInd w:w="55" w:type="dxa"/>
        <w:tblCellMar>
          <w:left w:w="70" w:type="dxa"/>
          <w:right w:w="70" w:type="dxa"/>
        </w:tblCellMar>
        <w:tblLook w:val="04A0"/>
      </w:tblPr>
      <w:tblGrid>
        <w:gridCol w:w="2494"/>
        <w:gridCol w:w="4107"/>
        <w:gridCol w:w="2007"/>
      </w:tblGrid>
      <w:tr w:rsidR="004850C2" w:rsidTr="004850C2">
        <w:trPr>
          <w:trHeight w:val="28"/>
          <w:tblHeader/>
        </w:trPr>
        <w:tc>
          <w:tcPr>
            <w:tcW w:w="2494" w:type="dxa"/>
            <w:shd w:val="clear" w:color="auto" w:fill="1F497D"/>
            <w:vAlign w:val="center"/>
            <w:hideMark/>
          </w:tcPr>
          <w:p w:rsidR="004850C2" w:rsidRDefault="004850C2">
            <w:pPr>
              <w:jc w:val="center"/>
              <w:rPr>
                <w:rFonts w:ascii="Barlow Medium" w:eastAsia="Times New Roman" w:hAnsi="Barlow Medium" w:cs="Times New Roman"/>
                <w:b/>
                <w:bCs/>
                <w:color w:val="FFFFFF"/>
                <w:sz w:val="20"/>
                <w:szCs w:val="20"/>
                <w:lang w:val="es-ES"/>
              </w:rPr>
            </w:pPr>
            <w:r>
              <w:rPr>
                <w:rFonts w:ascii="Barlow Medium" w:eastAsia="Times New Roman" w:hAnsi="Barlow Medium" w:cs="Times New Roman"/>
                <w:b/>
                <w:bCs/>
                <w:color w:val="FFFFFF"/>
                <w:sz w:val="20"/>
                <w:szCs w:val="20"/>
                <w:lang w:val="es-ES"/>
              </w:rPr>
              <w:t xml:space="preserve">Número de Programa Presupuestario </w:t>
            </w:r>
          </w:p>
        </w:tc>
        <w:tc>
          <w:tcPr>
            <w:tcW w:w="4107" w:type="dxa"/>
            <w:shd w:val="clear" w:color="auto" w:fill="1F497D"/>
            <w:noWrap/>
            <w:vAlign w:val="center"/>
            <w:hideMark/>
          </w:tcPr>
          <w:p w:rsidR="004850C2" w:rsidRDefault="004850C2">
            <w:pPr>
              <w:jc w:val="center"/>
              <w:rPr>
                <w:rFonts w:ascii="Barlow Medium" w:eastAsia="Times New Roman" w:hAnsi="Barlow Medium" w:cs="Times New Roman"/>
                <w:b/>
                <w:bCs/>
                <w:color w:val="FFFFFF"/>
                <w:sz w:val="20"/>
                <w:szCs w:val="20"/>
                <w:lang w:val="es-ES"/>
              </w:rPr>
            </w:pPr>
            <w:r>
              <w:rPr>
                <w:rFonts w:ascii="Barlow Medium" w:eastAsia="Times New Roman" w:hAnsi="Barlow Medium" w:cs="Times New Roman"/>
                <w:b/>
                <w:bCs/>
                <w:color w:val="FFFFFF"/>
                <w:sz w:val="20"/>
                <w:szCs w:val="20"/>
                <w:lang w:val="es-ES"/>
              </w:rPr>
              <w:t xml:space="preserve"> Nombre del Programa Presupuestario </w:t>
            </w:r>
          </w:p>
        </w:tc>
        <w:tc>
          <w:tcPr>
            <w:tcW w:w="2007" w:type="dxa"/>
            <w:shd w:val="clear" w:color="auto" w:fill="1F497D"/>
            <w:noWrap/>
            <w:vAlign w:val="center"/>
            <w:hideMark/>
          </w:tcPr>
          <w:p w:rsidR="004850C2" w:rsidRDefault="004850C2">
            <w:pPr>
              <w:jc w:val="center"/>
              <w:rPr>
                <w:rFonts w:ascii="Barlow Medium" w:eastAsia="Times New Roman" w:hAnsi="Barlow Medium" w:cs="Times New Roman"/>
                <w:b/>
                <w:bCs/>
                <w:color w:val="FFFFFF"/>
                <w:sz w:val="20"/>
                <w:szCs w:val="20"/>
                <w:lang w:val="es-ES"/>
              </w:rPr>
            </w:pPr>
            <w:r>
              <w:rPr>
                <w:rFonts w:ascii="Barlow Medium" w:eastAsia="Times New Roman" w:hAnsi="Barlow Medium" w:cs="Times New Roman"/>
                <w:b/>
                <w:bCs/>
                <w:color w:val="FFFFFF"/>
                <w:sz w:val="20"/>
                <w:szCs w:val="20"/>
                <w:lang w:val="es-ES"/>
              </w:rPr>
              <w:t xml:space="preserve"> Monto (pesos) </w:t>
            </w:r>
          </w:p>
        </w:tc>
      </w:tr>
      <w:tr w:rsidR="004850C2" w:rsidTr="004850C2">
        <w:trPr>
          <w:trHeight w:val="8"/>
        </w:trPr>
        <w:tc>
          <w:tcPr>
            <w:tcW w:w="2494" w:type="dxa"/>
            <w:shd w:val="clear" w:color="auto" w:fill="F2F2F2"/>
            <w:vAlign w:val="center"/>
            <w:hideMark/>
          </w:tcPr>
          <w:p w:rsidR="004850C2" w:rsidRDefault="004850C2">
            <w:pPr>
              <w:jc w:val="cente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17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Programa Integral de Reinserción Social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500,000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25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Prevención Social del Delito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3,545,558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43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Construcción, Ampliación y Mejoramiento de Vivienda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43,163,094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45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Servicios de Salud a la Comunidad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352,971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47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Salud Mental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389,580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51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Salud de la Mujer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4,530,907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52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Salud Reproductiva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151,853,492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53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Salud Infantil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609,254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70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Eficiencia Terminal en Educación Básica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4,860,259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78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Rezago Educativo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3,055,550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80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Carencia por Acceso a la Alimentación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5,820,609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82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Población Maya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342,650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84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Prevención y Atención a Mujeres en situación de violencia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101,522,094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86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Línea Mínima de Bienestar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4,250,000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87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Sujetos en Condición de Vulnerabilidad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6,974,767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90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Atención en Salud a Personas Sujetas a Asistencia Social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878,250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91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Atención al Desarrollo Infantil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500,000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93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Apoyos para el Crecimiento Empresarial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2,730,132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120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Fortalecimiento de la Confianza Ciudadana en la Procuración de Justicia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200,000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125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Preservación de la Gobernabilidad y Atención a Derechos Humanos y Desarrollo de Gobierno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2,979,162 </w:t>
            </w:r>
          </w:p>
        </w:tc>
      </w:tr>
      <w:tr w:rsidR="004850C2" w:rsidTr="004850C2">
        <w:trPr>
          <w:trHeight w:val="17"/>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lastRenderedPageBreak/>
              <w:t xml:space="preserve">     130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Programa de Fortalecimiento Institucional Municipal y Desarrollo Regional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211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148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Gestión Jurídica de la Secretaría General del Estado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600,000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153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Planeación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9,820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170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Profesionalización de los Elementos Policíacos del Estado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710,154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172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Prevención del Delito a través de Acciones Estructurales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141,940,165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182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Comunicación Social e Información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4,000,000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198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Programa Integral Protégete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1,000,000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226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Fortalecimiento a la Calidad del Servicio Educativo del Instituto Tecnológico Superior Progreso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63,881 </w:t>
            </w:r>
          </w:p>
        </w:tc>
      </w:tr>
      <w:tr w:rsidR="004850C2" w:rsidTr="004850C2">
        <w:trPr>
          <w:trHeight w:val="17"/>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234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Gestión Pedagógica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1,023,354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251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Programa Institucional para la transverzalización de la perspectiva de género en las políticas públicas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19,555,792 </w:t>
            </w:r>
          </w:p>
        </w:tc>
      </w:tr>
      <w:tr w:rsidR="004850C2" w:rsidTr="004850C2">
        <w:trPr>
          <w:trHeight w:val="17"/>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255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Administración de la Secretaría de las Mujeres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8,298,872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259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Desarrollo Artesanal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1,474,162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288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Atención Integral a las Víctimas del Delito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1,812,720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289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Atención Integral a las Mujeres Víctimas de Violencia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12,706,789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315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Atención Médica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207,399,519 </w:t>
            </w:r>
          </w:p>
        </w:tc>
      </w:tr>
      <w:tr w:rsidR="004850C2" w:rsidTr="004850C2">
        <w:trPr>
          <w:trHeight w:val="8"/>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318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Yucatán Emprende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3,844,409 </w:t>
            </w:r>
          </w:p>
        </w:tc>
      </w:tr>
      <w:tr w:rsidR="004850C2" w:rsidTr="004850C2">
        <w:trPr>
          <w:trHeight w:val="8"/>
        </w:trPr>
        <w:tc>
          <w:tcPr>
            <w:tcW w:w="2494" w:type="dxa"/>
            <w:shd w:val="clear" w:color="auto" w:fill="F2F2F2"/>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331 </w:t>
            </w:r>
          </w:p>
        </w:tc>
        <w:tc>
          <w:tcPr>
            <w:tcW w:w="4107" w:type="dxa"/>
            <w:shd w:val="clear" w:color="auto" w:fill="F2F2F2"/>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Prevención y Control de VIH, SIDA e Infecciones de Transmisión Sexual </w:t>
            </w:r>
          </w:p>
        </w:tc>
        <w:tc>
          <w:tcPr>
            <w:tcW w:w="2007" w:type="dxa"/>
            <w:shd w:val="clear" w:color="auto" w:fill="F2F2F2"/>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3,509,346 </w:t>
            </w:r>
          </w:p>
        </w:tc>
      </w:tr>
      <w:tr w:rsidR="004850C2" w:rsidTr="004850C2">
        <w:trPr>
          <w:trHeight w:val="17"/>
        </w:trPr>
        <w:tc>
          <w:tcPr>
            <w:tcW w:w="2494" w:type="dxa"/>
            <w:vAlign w:val="center"/>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334 </w:t>
            </w:r>
          </w:p>
        </w:tc>
        <w:tc>
          <w:tcPr>
            <w:tcW w:w="4107" w:type="dxa"/>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Administración de los Recursos Humanos, Financieros y Materiales de la Comisión Ejecutiva Estatal de Atención a Víctimas </w:t>
            </w:r>
          </w:p>
        </w:tc>
        <w:tc>
          <w:tcPr>
            <w:tcW w:w="2007" w:type="dxa"/>
            <w:noWrap/>
            <w:vAlign w:val="bottom"/>
            <w:hideMark/>
          </w:tcPr>
          <w:p w:rsidR="004850C2" w:rsidRDefault="004850C2">
            <w:pPr>
              <w:rPr>
                <w:rFonts w:ascii="Barlow Medium" w:eastAsia="Times New Roman" w:hAnsi="Barlow Medium" w:cs="Times New Roman"/>
                <w:color w:val="000000"/>
                <w:sz w:val="20"/>
                <w:szCs w:val="20"/>
                <w:lang w:val="es-ES"/>
              </w:rPr>
            </w:pPr>
            <w:r>
              <w:rPr>
                <w:rFonts w:ascii="Barlow Medium" w:eastAsia="Times New Roman" w:hAnsi="Barlow Medium" w:cs="Times New Roman"/>
                <w:color w:val="000000"/>
                <w:sz w:val="20"/>
                <w:szCs w:val="20"/>
                <w:lang w:val="es-ES"/>
              </w:rPr>
              <w:t xml:space="preserve">                      475,451 </w:t>
            </w:r>
          </w:p>
        </w:tc>
      </w:tr>
      <w:tr w:rsidR="004850C2" w:rsidTr="004850C2">
        <w:trPr>
          <w:trHeight w:val="8"/>
        </w:trPr>
        <w:tc>
          <w:tcPr>
            <w:tcW w:w="6600" w:type="dxa"/>
            <w:gridSpan w:val="2"/>
            <w:shd w:val="clear" w:color="auto" w:fill="D9D9D9"/>
            <w:noWrap/>
            <w:vAlign w:val="bottom"/>
            <w:hideMark/>
          </w:tcPr>
          <w:p w:rsidR="004850C2" w:rsidRDefault="004850C2">
            <w:pPr>
              <w:jc w:val="center"/>
              <w:rPr>
                <w:rFonts w:ascii="Barlow Medium" w:eastAsia="Times New Roman" w:hAnsi="Barlow Medium" w:cs="Times New Roman"/>
                <w:b/>
                <w:bCs/>
                <w:color w:val="000000"/>
                <w:sz w:val="20"/>
                <w:szCs w:val="20"/>
                <w:lang w:val="es-ES"/>
              </w:rPr>
            </w:pPr>
            <w:r>
              <w:rPr>
                <w:rFonts w:ascii="Barlow Medium" w:eastAsia="Times New Roman" w:hAnsi="Barlow Medium" w:cs="Times New Roman"/>
                <w:b/>
                <w:bCs/>
                <w:color w:val="000000"/>
                <w:sz w:val="20"/>
                <w:szCs w:val="20"/>
                <w:lang w:val="es-ES"/>
              </w:rPr>
              <w:t xml:space="preserve"> Total general </w:t>
            </w:r>
          </w:p>
        </w:tc>
        <w:tc>
          <w:tcPr>
            <w:tcW w:w="2007" w:type="dxa"/>
            <w:shd w:val="clear" w:color="auto" w:fill="D9D9D9"/>
            <w:noWrap/>
            <w:vAlign w:val="bottom"/>
            <w:hideMark/>
          </w:tcPr>
          <w:p w:rsidR="004850C2" w:rsidRDefault="004850C2">
            <w:pPr>
              <w:rPr>
                <w:rFonts w:ascii="Barlow Medium" w:eastAsia="Times New Roman" w:hAnsi="Barlow Medium" w:cs="Times New Roman"/>
                <w:b/>
                <w:bCs/>
                <w:color w:val="000000"/>
                <w:sz w:val="20"/>
                <w:szCs w:val="20"/>
                <w:lang w:val="es-ES"/>
              </w:rPr>
            </w:pPr>
            <w:r>
              <w:rPr>
                <w:rFonts w:ascii="Barlow Medium" w:eastAsia="Times New Roman" w:hAnsi="Barlow Medium" w:cs="Times New Roman"/>
                <w:b/>
                <w:bCs/>
                <w:color w:val="000000"/>
                <w:sz w:val="20"/>
                <w:szCs w:val="20"/>
                <w:lang w:val="es-ES"/>
              </w:rPr>
              <w:t xml:space="preserve">     747,482,974 </w:t>
            </w:r>
          </w:p>
        </w:tc>
      </w:tr>
    </w:tbl>
    <w:p w:rsidR="004850C2" w:rsidRDefault="004850C2" w:rsidP="004850C2">
      <w:pPr>
        <w:spacing w:before="100" w:beforeAutospacing="1" w:after="100" w:afterAutospacing="1"/>
        <w:jc w:val="both"/>
        <w:rPr>
          <w:rFonts w:ascii="Barlow Medium" w:eastAsiaTheme="minorHAnsi" w:hAnsi="Barlow Medium" w:cs="Arial"/>
          <w:lang w:val="es-MX" w:eastAsia="en-US"/>
        </w:rPr>
      </w:pPr>
    </w:p>
    <w:p w:rsidR="004850C2" w:rsidRDefault="004850C2" w:rsidP="004850C2">
      <w:pPr>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Las asignaciones por institución para este año se distribuyen entre 21 dependencias y entidades que han destinado recursos para la igualdad entre mujeres y hombres (Tabla 3).</w:t>
      </w: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Tabla  3.  Inversión para la igualdad de género por institución</w:t>
      </w: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r>
        <w:rPr>
          <w:noProof/>
          <w:sz w:val="22"/>
          <w:szCs w:val="22"/>
          <w:lang w:val="es-MX" w:eastAsia="es-MX"/>
        </w:rPr>
        <w:drawing>
          <wp:anchor distT="0" distB="0" distL="114300" distR="114300" simplePos="0" relativeHeight="251670528" behindDoc="1" locked="0" layoutInCell="1" allowOverlap="1">
            <wp:simplePos x="0" y="0"/>
            <wp:positionH relativeFrom="column">
              <wp:posOffset>1475105</wp:posOffset>
            </wp:positionH>
            <wp:positionV relativeFrom="paragraph">
              <wp:posOffset>214630</wp:posOffset>
            </wp:positionV>
            <wp:extent cx="2181860" cy="4300855"/>
            <wp:effectExtent l="0" t="0" r="2540" b="444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860" cy="4300855"/>
                    </a:xfrm>
                    <a:prstGeom prst="rect">
                      <a:avLst/>
                    </a:prstGeom>
                    <a:noFill/>
                  </pic:spPr>
                </pic:pic>
              </a:graphicData>
            </a:graphic>
          </wp:anchor>
        </w:drawing>
      </w: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p>
    <w:p w:rsidR="004850C2" w:rsidRDefault="004850C2" w:rsidP="004850C2">
      <w:pPr>
        <w:shd w:val="clear" w:color="auto" w:fill="FFFFFF"/>
        <w:spacing w:before="100" w:beforeAutospacing="1" w:after="100" w:afterAutospacing="1"/>
        <w:jc w:val="both"/>
        <w:rPr>
          <w:rFonts w:ascii="Barlow Medium" w:eastAsiaTheme="minorHAnsi" w:hAnsi="Barlow Medium" w:cs="Arial"/>
          <w:lang w:eastAsia="en-US"/>
        </w:rPr>
      </w:pPr>
      <w:r>
        <w:rPr>
          <w:rFonts w:ascii="Barlow Medium" w:eastAsiaTheme="minorHAnsi" w:hAnsi="Barlow Medium" w:cs="Arial"/>
          <w:lang w:eastAsia="en-US"/>
        </w:rPr>
        <w:t xml:space="preserve">En cuanto a los Objetivos de Desarrollo Sostenible, el 80.4% de la inversión destinada para la igualdad entre mujeres y hombres incluida en este Anexo contribuye a la atención de 7 de los 17 objetivos (ver Gráfica 4): </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2. Poner fin al hambre, lograr la seguridad alimentaria y la mejora de la nutrición y promover la agricultura sostenible.</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3. Garantizar una vida sana y promover el bienestar para todos en todas las edades.</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4. Garantizar una educación inclusiva, equitativa y de calidad y promover oportunidades de aprendizaje durante toda la vida para todos.</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5. Lograr la igualdad entre los géneros y empoderar a todas las mujeres y las niñas.</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8. Promover el crecimiento económico sostenido, inclusivo y sostenible, el empleo pleno y productivo y el trabajo decente para todos.</w:t>
      </w:r>
    </w:p>
    <w:p w:rsidR="004850C2" w:rsidRDefault="004850C2" w:rsidP="00E22205">
      <w:pPr>
        <w:numPr>
          <w:ilvl w:val="0"/>
          <w:numId w:val="40"/>
        </w:numPr>
        <w:spacing w:before="100" w:beforeAutospacing="1" w:after="100" w:afterAutospacing="1" w:line="276" w:lineRule="auto"/>
        <w:jc w:val="both"/>
        <w:rPr>
          <w:rFonts w:ascii="Barlow Medium" w:eastAsiaTheme="minorHAnsi" w:hAnsi="Barlow Medium" w:cs="Arial"/>
          <w:lang w:eastAsia="en-US"/>
        </w:rPr>
      </w:pPr>
      <w:r>
        <w:rPr>
          <w:rFonts w:ascii="Barlow Medium" w:eastAsiaTheme="minorHAnsi" w:hAnsi="Barlow Medium" w:cs="Arial"/>
          <w:lang w:eastAsia="en-US"/>
        </w:rPr>
        <w:t>Objetivo 11. Lograr que las ciudades y los asentamientos humanos sean inclusivos, seguros, resilientes y sostenibles.</w:t>
      </w:r>
    </w:p>
    <w:p w:rsidR="004850C2" w:rsidRDefault="004850C2" w:rsidP="00E22205">
      <w:pPr>
        <w:keepNext/>
        <w:numPr>
          <w:ilvl w:val="0"/>
          <w:numId w:val="40"/>
        </w:numPr>
        <w:spacing w:before="100" w:beforeAutospacing="1" w:after="100" w:afterAutospacing="1" w:line="276" w:lineRule="auto"/>
        <w:jc w:val="center"/>
        <w:rPr>
          <w:rFonts w:ascii="Barlow Medium" w:eastAsiaTheme="minorHAnsi" w:hAnsi="Barlow Medium"/>
          <w:lang w:eastAsia="en-US"/>
        </w:rPr>
      </w:pPr>
      <w:r>
        <w:rPr>
          <w:rFonts w:ascii="Barlow Medium" w:eastAsiaTheme="minorHAnsi" w:hAnsi="Barlow Medium" w:cs="Arial"/>
          <w:lang w:eastAsia="en-US"/>
        </w:rPr>
        <w:lastRenderedPageBreak/>
        <w:t>Objetivo 16. Promover sociedades pacíficas e inclusivas para el desarrollo sostenible, facilitar el acceso a la justicia para todos y crear instituciones eficaces, responsables e inclusivas a todos los niveles.</w:t>
      </w:r>
    </w:p>
    <w:p w:rsidR="004850C2" w:rsidRDefault="004850C2" w:rsidP="004850C2">
      <w:pPr>
        <w:keepNext/>
        <w:spacing w:before="100" w:beforeAutospacing="1" w:after="100" w:afterAutospacing="1"/>
        <w:ind w:left="360"/>
        <w:jc w:val="center"/>
        <w:rPr>
          <w:rFonts w:ascii="Barlow Medium" w:eastAsiaTheme="minorHAnsi" w:hAnsi="Barlow Medium"/>
          <w:b/>
          <w:lang w:eastAsia="en-US"/>
        </w:rPr>
      </w:pPr>
      <w:r>
        <w:rPr>
          <w:rFonts w:ascii="Barlow Medium" w:eastAsiaTheme="minorHAnsi" w:hAnsi="Barlow Medium" w:cs="Arial"/>
          <w:b/>
          <w:lang w:eastAsia="en-US"/>
        </w:rPr>
        <w:t>Tabla 4. Distribución del presupuesto asignado para la igualdad entre mujeres y hombres según Objetivo de Desarrollo Sostenible</w:t>
      </w:r>
    </w:p>
    <w:tbl>
      <w:tblPr>
        <w:tblW w:w="8803" w:type="dxa"/>
        <w:tblInd w:w="55" w:type="dxa"/>
        <w:tblCellMar>
          <w:left w:w="70" w:type="dxa"/>
          <w:right w:w="70" w:type="dxa"/>
        </w:tblCellMar>
        <w:tblLook w:val="04A0"/>
      </w:tblPr>
      <w:tblGrid>
        <w:gridCol w:w="7221"/>
        <w:gridCol w:w="1582"/>
      </w:tblGrid>
      <w:tr w:rsidR="004850C2" w:rsidTr="004850C2">
        <w:trPr>
          <w:trHeight w:val="358"/>
        </w:trPr>
        <w:tc>
          <w:tcPr>
            <w:tcW w:w="7221" w:type="dxa"/>
            <w:shd w:val="clear" w:color="auto" w:fill="1F497D"/>
            <w:vAlign w:val="center"/>
            <w:hideMark/>
          </w:tcPr>
          <w:p w:rsidR="004850C2" w:rsidRDefault="004850C2">
            <w:pPr>
              <w:jc w:val="center"/>
              <w:rPr>
                <w:rFonts w:ascii="Barlow Medium" w:eastAsia="Times New Roman" w:hAnsi="Barlow Medium" w:cs="Times New Roman"/>
                <w:b/>
                <w:bCs/>
                <w:color w:val="FFFFFF"/>
                <w:sz w:val="20"/>
                <w:lang w:val="es-ES"/>
              </w:rPr>
            </w:pPr>
            <w:r>
              <w:rPr>
                <w:rFonts w:ascii="Barlow Medium" w:eastAsia="Times New Roman" w:hAnsi="Barlow Medium" w:cs="Times New Roman"/>
                <w:b/>
                <w:bCs/>
                <w:color w:val="FFFFFF"/>
                <w:sz w:val="20"/>
                <w:lang w:val="es-ES"/>
              </w:rPr>
              <w:t xml:space="preserve">Objetivos de Desarrollo Sostenible </w:t>
            </w:r>
          </w:p>
        </w:tc>
        <w:tc>
          <w:tcPr>
            <w:tcW w:w="1582" w:type="dxa"/>
            <w:shd w:val="clear" w:color="auto" w:fill="1F497D"/>
            <w:noWrap/>
            <w:vAlign w:val="center"/>
            <w:hideMark/>
          </w:tcPr>
          <w:p w:rsidR="004850C2" w:rsidRDefault="004850C2">
            <w:pPr>
              <w:jc w:val="center"/>
              <w:rPr>
                <w:rFonts w:ascii="Barlow Medium" w:eastAsia="Times New Roman" w:hAnsi="Barlow Medium" w:cs="Times New Roman"/>
                <w:b/>
                <w:bCs/>
                <w:color w:val="FFFFFF"/>
                <w:sz w:val="20"/>
                <w:lang w:val="es-ES"/>
              </w:rPr>
            </w:pPr>
            <w:r>
              <w:rPr>
                <w:rFonts w:ascii="Barlow Medium" w:eastAsia="Times New Roman" w:hAnsi="Barlow Medium" w:cs="Times New Roman"/>
                <w:b/>
                <w:bCs/>
                <w:color w:val="FFFFFF"/>
                <w:sz w:val="20"/>
                <w:lang w:val="es-ES"/>
              </w:rPr>
              <w:t xml:space="preserve"> Monto (pesos) </w:t>
            </w:r>
          </w:p>
        </w:tc>
      </w:tr>
      <w:tr w:rsidR="004850C2" w:rsidTr="004850C2">
        <w:trPr>
          <w:trHeight w:val="361"/>
        </w:trPr>
        <w:tc>
          <w:tcPr>
            <w:tcW w:w="7221" w:type="dxa"/>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5. Lograr la igualdad entre los géneros y empoderar a todas las mujeres y las niñas</w:t>
            </w:r>
          </w:p>
        </w:tc>
        <w:tc>
          <w:tcPr>
            <w:tcW w:w="1582" w:type="dxa"/>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650,700,879 </w:t>
            </w:r>
          </w:p>
        </w:tc>
      </w:tr>
      <w:tr w:rsidR="004850C2" w:rsidTr="004850C2">
        <w:trPr>
          <w:trHeight w:val="358"/>
        </w:trPr>
        <w:tc>
          <w:tcPr>
            <w:tcW w:w="7221" w:type="dxa"/>
            <w:shd w:val="clear" w:color="auto" w:fill="F2F2F2"/>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11. Lograr que las ciudades y los asentamientos humanos sean inclusivos, seguros, resilientes y sostenibles</w:t>
            </w:r>
          </w:p>
        </w:tc>
        <w:tc>
          <w:tcPr>
            <w:tcW w:w="1582" w:type="dxa"/>
            <w:shd w:val="clear" w:color="auto" w:fill="F2F2F2"/>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43,163,094 </w:t>
            </w:r>
          </w:p>
        </w:tc>
      </w:tr>
      <w:tr w:rsidR="004850C2" w:rsidTr="004850C2">
        <w:trPr>
          <w:trHeight w:val="722"/>
        </w:trPr>
        <w:tc>
          <w:tcPr>
            <w:tcW w:w="7221" w:type="dxa"/>
            <w:shd w:val="clear" w:color="auto" w:fill="F2F2F2"/>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8. Promover el crecimiento económico sostenido, inclusivo y sostenible, el empleo pleno y productivo y el trabajo decente para todos</w:t>
            </w:r>
          </w:p>
        </w:tc>
        <w:tc>
          <w:tcPr>
            <w:tcW w:w="1582" w:type="dxa"/>
            <w:shd w:val="clear" w:color="auto" w:fill="F2F2F2"/>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14,111,653 </w:t>
            </w:r>
          </w:p>
        </w:tc>
      </w:tr>
      <w:tr w:rsidR="004850C2" w:rsidTr="004850C2">
        <w:trPr>
          <w:trHeight w:val="358"/>
        </w:trPr>
        <w:tc>
          <w:tcPr>
            <w:tcW w:w="7221" w:type="dxa"/>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3. Garantizar una vida sana y promover el bienestar para todos en todas las edades</w:t>
            </w:r>
          </w:p>
        </w:tc>
        <w:tc>
          <w:tcPr>
            <w:tcW w:w="1582" w:type="dxa"/>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10,322,888 </w:t>
            </w:r>
          </w:p>
        </w:tc>
      </w:tr>
      <w:tr w:rsidR="004850C2" w:rsidTr="004850C2">
        <w:trPr>
          <w:trHeight w:val="722"/>
        </w:trPr>
        <w:tc>
          <w:tcPr>
            <w:tcW w:w="7221" w:type="dxa"/>
            <w:shd w:val="clear" w:color="auto" w:fill="F2F2F2"/>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4. Garantizar una educación inclusiva, equitativa y de calidad y promover oportunidades de aprendizaje durante toda la vida para todos</w:t>
            </w:r>
          </w:p>
        </w:tc>
        <w:tc>
          <w:tcPr>
            <w:tcW w:w="1582" w:type="dxa"/>
            <w:shd w:val="clear" w:color="auto" w:fill="F2F2F2"/>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5,947,494 </w:t>
            </w:r>
          </w:p>
        </w:tc>
      </w:tr>
      <w:tr w:rsidR="004850C2" w:rsidTr="004850C2">
        <w:trPr>
          <w:trHeight w:val="722"/>
        </w:trPr>
        <w:tc>
          <w:tcPr>
            <w:tcW w:w="7221" w:type="dxa"/>
            <w:shd w:val="clear" w:color="auto" w:fill="F2F2F2"/>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2. Poner fin al hambre, lograr la seguridad alimentaria y la mejora de la nutrición y promover la agricultura sostenible</w:t>
            </w:r>
          </w:p>
        </w:tc>
        <w:tc>
          <w:tcPr>
            <w:tcW w:w="1582" w:type="dxa"/>
            <w:shd w:val="clear" w:color="auto" w:fill="F2F2F2"/>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1,873,327 </w:t>
            </w:r>
          </w:p>
        </w:tc>
      </w:tr>
      <w:tr w:rsidR="004850C2" w:rsidTr="004850C2">
        <w:trPr>
          <w:trHeight w:val="722"/>
        </w:trPr>
        <w:tc>
          <w:tcPr>
            <w:tcW w:w="7221" w:type="dxa"/>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Objetivo 16. Promover sociedades pacíficas e inclusivas para el desarrollo sostenible, facilitar el acceso a la justicia para todos y crear instituciones eficaces, responsables e inclusivas a todos los niveles</w:t>
            </w:r>
          </w:p>
        </w:tc>
        <w:tc>
          <w:tcPr>
            <w:tcW w:w="1582" w:type="dxa"/>
            <w:noWrap/>
            <w:vAlign w:val="bottom"/>
            <w:hideMark/>
          </w:tcPr>
          <w:p w:rsidR="004850C2" w:rsidRDefault="004850C2">
            <w:pPr>
              <w:rPr>
                <w:rFonts w:ascii="Barlow Medium" w:eastAsia="Times New Roman" w:hAnsi="Barlow Medium" w:cs="Times New Roman"/>
                <w:color w:val="000000"/>
                <w:sz w:val="20"/>
                <w:lang w:val="es-ES"/>
              </w:rPr>
            </w:pPr>
            <w:r>
              <w:rPr>
                <w:rFonts w:ascii="Barlow Medium" w:eastAsia="Times New Roman" w:hAnsi="Barlow Medium" w:cs="Times New Roman"/>
                <w:color w:val="000000"/>
                <w:sz w:val="20"/>
                <w:lang w:val="es-ES"/>
              </w:rPr>
              <w:t xml:space="preserve">                         25,900 </w:t>
            </w:r>
          </w:p>
        </w:tc>
      </w:tr>
      <w:tr w:rsidR="004850C2" w:rsidTr="004850C2">
        <w:trPr>
          <w:trHeight w:val="358"/>
        </w:trPr>
        <w:tc>
          <w:tcPr>
            <w:tcW w:w="7221" w:type="dxa"/>
            <w:shd w:val="clear" w:color="auto" w:fill="D9D9D9"/>
            <w:noWrap/>
            <w:vAlign w:val="bottom"/>
            <w:hideMark/>
          </w:tcPr>
          <w:p w:rsidR="004850C2" w:rsidRDefault="004850C2">
            <w:pPr>
              <w:rPr>
                <w:rFonts w:ascii="Barlow Medium" w:eastAsia="Times New Roman" w:hAnsi="Barlow Medium" w:cs="Times New Roman"/>
                <w:b/>
                <w:bCs/>
                <w:color w:val="000000"/>
                <w:sz w:val="20"/>
                <w:lang w:val="es-ES"/>
              </w:rPr>
            </w:pPr>
            <w:r>
              <w:rPr>
                <w:rFonts w:ascii="Barlow Medium" w:eastAsia="Times New Roman" w:hAnsi="Barlow Medium" w:cs="Times New Roman"/>
                <w:b/>
                <w:bCs/>
                <w:color w:val="000000"/>
                <w:sz w:val="20"/>
                <w:lang w:val="es-ES"/>
              </w:rPr>
              <w:t>Total general</w:t>
            </w:r>
          </w:p>
        </w:tc>
        <w:tc>
          <w:tcPr>
            <w:tcW w:w="1582" w:type="dxa"/>
            <w:shd w:val="clear" w:color="auto" w:fill="D9D9D9"/>
            <w:noWrap/>
            <w:vAlign w:val="bottom"/>
            <w:hideMark/>
          </w:tcPr>
          <w:p w:rsidR="004850C2" w:rsidRDefault="004850C2">
            <w:pPr>
              <w:rPr>
                <w:rFonts w:ascii="Barlow Medium" w:eastAsia="Times New Roman" w:hAnsi="Barlow Medium" w:cs="Times New Roman"/>
                <w:b/>
                <w:bCs/>
                <w:color w:val="000000"/>
                <w:sz w:val="20"/>
                <w:lang w:val="es-ES"/>
              </w:rPr>
            </w:pPr>
            <w:r>
              <w:rPr>
                <w:rFonts w:ascii="Barlow Medium" w:eastAsia="Times New Roman" w:hAnsi="Barlow Medium" w:cs="Times New Roman"/>
                <w:b/>
                <w:bCs/>
                <w:color w:val="000000"/>
                <w:sz w:val="20"/>
                <w:lang w:val="es-ES"/>
              </w:rPr>
              <w:t xml:space="preserve">       726,145,235 </w:t>
            </w:r>
          </w:p>
        </w:tc>
      </w:tr>
    </w:tbl>
    <w:p w:rsidR="004850C2" w:rsidRDefault="004850C2" w:rsidP="004850C2">
      <w:pPr>
        <w:jc w:val="center"/>
        <w:rPr>
          <w:rFonts w:ascii="Barlow Medium" w:eastAsiaTheme="minorHAnsi" w:hAnsi="Barlow Medium"/>
          <w:lang w:val="es-MX" w:eastAsia="en-US"/>
        </w:rPr>
      </w:pPr>
    </w:p>
    <w:p w:rsidR="004850C2" w:rsidRDefault="004850C2" w:rsidP="004850C2">
      <w:pPr>
        <w:shd w:val="clear" w:color="auto" w:fill="FFFFFF"/>
        <w:spacing w:before="100" w:beforeAutospacing="1" w:after="100" w:afterAutospacing="1"/>
        <w:jc w:val="both"/>
        <w:rPr>
          <w:rFonts w:ascii="Barlow Medium" w:eastAsia="Times New Roman" w:hAnsi="Barlow Medium" w:cs="Arial"/>
          <w:color w:val="222222"/>
          <w:lang w:eastAsia="es-MX"/>
        </w:rPr>
      </w:pPr>
      <w:r>
        <w:rPr>
          <w:rFonts w:ascii="Barlow Medium" w:eastAsia="Times New Roman" w:hAnsi="Barlow Medium" w:cs="Arial"/>
          <w:color w:val="222222"/>
        </w:rPr>
        <w:t xml:space="preserve">Cabe destacar que el ODS número 5 se diseñó exclusivamente para el logro de la igualdad entre mujeres y hombres así como el empoderamiento de niñas y mujeres, e incluye metas en diferentes ámbitos del desarrollo, como son la educación, el empleo, la participación política, la salud, la transversalización de las políticas públicas de igualdad, entre otros. Es por ello, que la mayor proporción de las asignaciones presupuestales para la igualdad se alinean a este objetivo. </w:t>
      </w:r>
    </w:p>
    <w:p w:rsidR="004850C2" w:rsidRDefault="004850C2" w:rsidP="004850C2">
      <w:pPr>
        <w:jc w:val="center"/>
        <w:rPr>
          <w:rFonts w:ascii="Barlow Medium" w:eastAsiaTheme="minorHAnsi" w:hAnsi="Barlow Medium" w:cs="Arial"/>
          <w:b/>
          <w:szCs w:val="20"/>
          <w:lang w:eastAsia="en-US"/>
        </w:rPr>
      </w:pPr>
      <w:r>
        <w:rPr>
          <w:rFonts w:ascii="Barlow Medium" w:eastAsiaTheme="minorHAnsi" w:hAnsi="Barlow Medium" w:cs="Arial"/>
          <w:b/>
          <w:szCs w:val="20"/>
          <w:lang w:eastAsia="en-US"/>
        </w:rPr>
        <w:t>Asignaciones presupuestarias para atender las recomendaciones emitidas en el marco de la solicitud de alerta de violencia de género (AVG)</w:t>
      </w:r>
    </w:p>
    <w:p w:rsidR="004850C2" w:rsidRDefault="004850C2" w:rsidP="004850C2">
      <w:pPr>
        <w:jc w:val="center"/>
        <w:rPr>
          <w:rFonts w:ascii="Arial" w:eastAsiaTheme="minorHAnsi" w:hAnsi="Arial" w:cs="Arial"/>
          <w:b/>
          <w:szCs w:val="20"/>
          <w:lang w:eastAsia="en-US"/>
        </w:rPr>
      </w:pPr>
    </w:p>
    <w:p w:rsidR="004850C2" w:rsidRDefault="004850C2" w:rsidP="004850C2">
      <w:pPr>
        <w:jc w:val="both"/>
        <w:rPr>
          <w:rFonts w:ascii="Arial" w:eastAsiaTheme="minorHAnsi" w:hAnsi="Arial" w:cs="Arial"/>
          <w:szCs w:val="20"/>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 xml:space="preserve">Como parte del seguimiento a lo establecido en el “Dictamen sobre la Implementación de las propuestas contenidas en las conclusiones del informe emitido por el Grupo de Trabajo conformado para atender la solicitud de Alerta de Violencia de Genero contra las Mujeres en el Estado de Yucatán”, para el 2019 se destinan </w:t>
      </w:r>
      <w:r>
        <w:rPr>
          <w:rFonts w:ascii="Barlow Medium" w:eastAsiaTheme="minorHAnsi" w:hAnsi="Barlow Medium" w:cs="Arial"/>
          <w:b/>
          <w:lang w:eastAsia="en-US"/>
        </w:rPr>
        <w:t>78 millones 519 mil 270 pesos</w:t>
      </w:r>
      <w:r>
        <w:rPr>
          <w:rFonts w:ascii="Barlow Medium" w:eastAsiaTheme="minorHAnsi" w:hAnsi="Barlow Medium" w:cs="Arial"/>
          <w:lang w:eastAsia="en-US"/>
        </w:rPr>
        <w:t xml:space="preserve">, lo que representa el </w:t>
      </w:r>
      <w:r>
        <w:rPr>
          <w:rFonts w:ascii="Barlow Medium" w:eastAsiaTheme="minorHAnsi" w:hAnsi="Barlow Medium" w:cs="Arial"/>
          <w:lang w:eastAsia="en-US"/>
        </w:rPr>
        <w:lastRenderedPageBreak/>
        <w:t>10.5% del presupuesto para igualdad. Los montos por conclusión y la estructura porcentual se muestran en la siguiente tabla.</w:t>
      </w:r>
    </w:p>
    <w:p w:rsidR="004850C2" w:rsidRDefault="004850C2" w:rsidP="004850C2">
      <w:pPr>
        <w:jc w:val="both"/>
        <w:rPr>
          <w:rFonts w:ascii="Barlow Medium" w:eastAsiaTheme="minorHAnsi" w:hAnsi="Barlow Medium" w:cs="Arial"/>
          <w:lang w:eastAsia="en-US"/>
        </w:rPr>
      </w:pPr>
    </w:p>
    <w:p w:rsidR="004850C2" w:rsidRDefault="004850C2" w:rsidP="004850C2">
      <w:pPr>
        <w:jc w:val="center"/>
        <w:rPr>
          <w:rFonts w:ascii="Barlow Medium" w:eastAsiaTheme="minorHAnsi" w:hAnsi="Barlow Medium" w:cs="Arial"/>
          <w:lang w:eastAsia="en-US"/>
        </w:rPr>
      </w:pPr>
      <w:r>
        <w:rPr>
          <w:rFonts w:ascii="Barlow Medium" w:eastAsiaTheme="minorHAnsi" w:hAnsi="Barlow Medium" w:cs="Arial"/>
          <w:lang w:eastAsia="en-US"/>
        </w:rPr>
        <w:t>Tabla 5. Presupuesto AVG y porcentaje por conclusión</w:t>
      </w:r>
    </w:p>
    <w:p w:rsidR="004850C2" w:rsidRDefault="004850C2" w:rsidP="004850C2">
      <w:pPr>
        <w:jc w:val="both"/>
        <w:rPr>
          <w:rFonts w:ascii="Barlow Medium" w:eastAsiaTheme="minorHAnsi" w:hAnsi="Barlow Medium" w:cs="Arial"/>
          <w:lang w:eastAsia="en-US"/>
        </w:rPr>
      </w:pPr>
    </w:p>
    <w:tbl>
      <w:tblPr>
        <w:tblW w:w="0" w:type="auto"/>
        <w:jc w:val="center"/>
        <w:tblLook w:val="04A0"/>
      </w:tblPr>
      <w:tblGrid>
        <w:gridCol w:w="1407"/>
        <w:gridCol w:w="2150"/>
        <w:gridCol w:w="1174"/>
      </w:tblGrid>
      <w:tr w:rsidR="004850C2" w:rsidTr="004850C2">
        <w:trPr>
          <w:trHeight w:val="300"/>
          <w:jc w:val="center"/>
        </w:trPr>
        <w:tc>
          <w:tcPr>
            <w:tcW w:w="0" w:type="auto"/>
            <w:tcBorders>
              <w:top w:val="single" w:sz="8" w:space="0" w:color="000000" w:themeColor="text1"/>
              <w:left w:val="single" w:sz="8" w:space="0" w:color="000000" w:themeColor="text1"/>
              <w:bottom w:val="nil"/>
              <w:right w:val="nil"/>
            </w:tcBorders>
            <w:shd w:val="clear" w:color="auto" w:fill="1B1D3D" w:themeFill="text2" w:themeFillShade="BF"/>
            <w:noWrap/>
            <w:hideMark/>
          </w:tcPr>
          <w:p w:rsidR="004850C2" w:rsidRDefault="004850C2">
            <w:pPr>
              <w:jc w:val="center"/>
              <w:rPr>
                <w:rFonts w:ascii="Barlow Medium" w:hAnsi="Barlow Medium" w:cs="Calibri"/>
                <w:sz w:val="20"/>
                <w:szCs w:val="20"/>
              </w:rPr>
            </w:pPr>
            <w:r>
              <w:rPr>
                <w:rFonts w:ascii="Barlow Medium" w:hAnsi="Barlow Medium" w:cs="Calibri"/>
                <w:sz w:val="20"/>
                <w:szCs w:val="20"/>
              </w:rPr>
              <w:t>Conclusión</w:t>
            </w:r>
          </w:p>
        </w:tc>
        <w:tc>
          <w:tcPr>
            <w:tcW w:w="0" w:type="auto"/>
            <w:tcBorders>
              <w:top w:val="single" w:sz="8" w:space="0" w:color="000000" w:themeColor="text1"/>
              <w:left w:val="nil"/>
              <w:bottom w:val="nil"/>
              <w:right w:val="nil"/>
            </w:tcBorders>
            <w:shd w:val="clear" w:color="auto" w:fill="1B1D3D" w:themeFill="text2" w:themeFillShade="BF"/>
            <w:noWrap/>
            <w:hideMark/>
          </w:tcPr>
          <w:p w:rsidR="004850C2" w:rsidRDefault="004850C2">
            <w:pPr>
              <w:jc w:val="center"/>
              <w:rPr>
                <w:rFonts w:ascii="Barlow Medium" w:hAnsi="Barlow Medium" w:cs="Calibri"/>
                <w:sz w:val="20"/>
                <w:szCs w:val="20"/>
              </w:rPr>
            </w:pPr>
            <w:r>
              <w:rPr>
                <w:rFonts w:ascii="Barlow Medium" w:hAnsi="Barlow Medium" w:cs="Calibri"/>
                <w:sz w:val="20"/>
                <w:szCs w:val="20"/>
              </w:rPr>
              <w:t>Presupuesto en pesos</w:t>
            </w:r>
          </w:p>
        </w:tc>
        <w:tc>
          <w:tcPr>
            <w:tcW w:w="0" w:type="auto"/>
            <w:tcBorders>
              <w:top w:val="single" w:sz="8" w:space="0" w:color="000000" w:themeColor="text1"/>
              <w:left w:val="nil"/>
              <w:bottom w:val="nil"/>
              <w:right w:val="single" w:sz="8" w:space="0" w:color="000000" w:themeColor="text1"/>
            </w:tcBorders>
            <w:shd w:val="clear" w:color="auto" w:fill="1B1D3D" w:themeFill="text2" w:themeFillShade="BF"/>
            <w:noWrap/>
            <w:hideMark/>
          </w:tcPr>
          <w:p w:rsidR="004850C2" w:rsidRDefault="004850C2">
            <w:pPr>
              <w:jc w:val="center"/>
              <w:rPr>
                <w:rFonts w:ascii="Barlow Medium" w:hAnsi="Barlow Medium" w:cs="Calibri"/>
                <w:sz w:val="20"/>
                <w:szCs w:val="20"/>
              </w:rPr>
            </w:pPr>
            <w:r>
              <w:rPr>
                <w:rFonts w:ascii="Barlow Medium" w:hAnsi="Barlow Medium" w:cs="Calibri"/>
                <w:sz w:val="20"/>
                <w:szCs w:val="20"/>
              </w:rPr>
              <w:t>Porcentaje</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1</w:t>
            </w:r>
          </w:p>
        </w:tc>
        <w:tc>
          <w:tcPr>
            <w:tcW w:w="0" w:type="auto"/>
            <w:tcBorders>
              <w:left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1,908,903</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3.32</w:t>
            </w:r>
          </w:p>
        </w:tc>
      </w:tr>
      <w:tr w:rsidR="004850C2" w:rsidTr="004850C2">
        <w:trPr>
          <w:trHeight w:val="300"/>
          <w:jc w:val="center"/>
        </w:trPr>
        <w:tc>
          <w:tcPr>
            <w:tcW w:w="0" w:type="auto"/>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2</w:t>
            </w:r>
          </w:p>
        </w:tc>
        <w:tc>
          <w:tcPr>
            <w:tcW w:w="0" w:type="auto"/>
            <w:tcBorders>
              <w:top w:val="nil"/>
              <w:left w:val="nil"/>
              <w:bottom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2,818,488</w:t>
            </w:r>
          </w:p>
        </w:tc>
        <w:tc>
          <w:tcPr>
            <w:tcW w:w="0" w:type="auto"/>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2.43</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3</w:t>
            </w:r>
          </w:p>
        </w:tc>
        <w:tc>
          <w:tcPr>
            <w:tcW w:w="0" w:type="auto"/>
            <w:tcBorders>
              <w:left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6,780,372</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3.59</w:t>
            </w:r>
          </w:p>
        </w:tc>
      </w:tr>
      <w:tr w:rsidR="004850C2" w:rsidTr="004850C2">
        <w:trPr>
          <w:trHeight w:val="300"/>
          <w:jc w:val="center"/>
        </w:trPr>
        <w:tc>
          <w:tcPr>
            <w:tcW w:w="0" w:type="auto"/>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4</w:t>
            </w:r>
          </w:p>
        </w:tc>
        <w:tc>
          <w:tcPr>
            <w:tcW w:w="0" w:type="auto"/>
            <w:tcBorders>
              <w:top w:val="nil"/>
              <w:left w:val="nil"/>
              <w:bottom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2,002,291</w:t>
            </w:r>
          </w:p>
        </w:tc>
        <w:tc>
          <w:tcPr>
            <w:tcW w:w="0" w:type="auto"/>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8.64</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5</w:t>
            </w:r>
          </w:p>
        </w:tc>
        <w:tc>
          <w:tcPr>
            <w:tcW w:w="0" w:type="auto"/>
            <w:tcBorders>
              <w:left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360,857</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2.55</w:t>
            </w:r>
          </w:p>
        </w:tc>
      </w:tr>
      <w:tr w:rsidR="004850C2" w:rsidTr="004850C2">
        <w:trPr>
          <w:trHeight w:val="300"/>
          <w:jc w:val="center"/>
        </w:trPr>
        <w:tc>
          <w:tcPr>
            <w:tcW w:w="0" w:type="auto"/>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6</w:t>
            </w:r>
          </w:p>
        </w:tc>
        <w:tc>
          <w:tcPr>
            <w:tcW w:w="0" w:type="auto"/>
            <w:tcBorders>
              <w:top w:val="nil"/>
              <w:left w:val="nil"/>
              <w:bottom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4,322,857</w:t>
            </w:r>
          </w:p>
        </w:tc>
        <w:tc>
          <w:tcPr>
            <w:tcW w:w="0" w:type="auto"/>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0.46</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7</w:t>
            </w:r>
          </w:p>
        </w:tc>
        <w:tc>
          <w:tcPr>
            <w:tcW w:w="0" w:type="auto"/>
            <w:tcBorders>
              <w:left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52,630,737</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5.51</w:t>
            </w:r>
          </w:p>
        </w:tc>
      </w:tr>
      <w:tr w:rsidR="004850C2" w:rsidTr="004850C2">
        <w:trPr>
          <w:trHeight w:val="300"/>
          <w:jc w:val="center"/>
        </w:trPr>
        <w:tc>
          <w:tcPr>
            <w:tcW w:w="0" w:type="auto"/>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8</w:t>
            </w:r>
          </w:p>
        </w:tc>
        <w:tc>
          <w:tcPr>
            <w:tcW w:w="0" w:type="auto"/>
            <w:tcBorders>
              <w:top w:val="nil"/>
              <w:left w:val="nil"/>
              <w:bottom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3,355,291</w:t>
            </w:r>
          </w:p>
        </w:tc>
        <w:tc>
          <w:tcPr>
            <w:tcW w:w="0" w:type="auto"/>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67.03</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9</w:t>
            </w:r>
          </w:p>
        </w:tc>
        <w:tc>
          <w:tcPr>
            <w:tcW w:w="0" w:type="auto"/>
            <w:tcBorders>
              <w:left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1,730,857</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4.27</w:t>
            </w:r>
          </w:p>
        </w:tc>
      </w:tr>
      <w:tr w:rsidR="004850C2" w:rsidTr="004850C2">
        <w:trPr>
          <w:trHeight w:val="300"/>
          <w:jc w:val="center"/>
        </w:trPr>
        <w:tc>
          <w:tcPr>
            <w:tcW w:w="0" w:type="auto"/>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szCs w:val="20"/>
              </w:rPr>
            </w:pPr>
            <w:r>
              <w:rPr>
                <w:rFonts w:ascii="Barlow Medium" w:hAnsi="Barlow Medium" w:cs="Calibri"/>
                <w:color w:val="000000"/>
                <w:sz w:val="20"/>
                <w:szCs w:val="20"/>
              </w:rPr>
              <w:t>Conclusión 10</w:t>
            </w:r>
          </w:p>
        </w:tc>
        <w:tc>
          <w:tcPr>
            <w:tcW w:w="0" w:type="auto"/>
            <w:tcBorders>
              <w:top w:val="nil"/>
              <w:left w:val="nil"/>
              <w:bottom w:val="nil"/>
              <w:right w:val="nil"/>
            </w:tcBorders>
            <w:noWrap/>
            <w:vAlign w:val="center"/>
            <w:hideMark/>
          </w:tcPr>
          <w:p w:rsidR="004850C2" w:rsidRDefault="004850C2">
            <w:pPr>
              <w:jc w:val="right"/>
              <w:rPr>
                <w:rFonts w:ascii="Barlow Medium" w:hAnsi="Barlow Medium" w:cs="Calibri"/>
                <w:color w:val="000000"/>
                <w:sz w:val="20"/>
                <w:szCs w:val="20"/>
              </w:rPr>
            </w:pPr>
            <w:r>
              <w:rPr>
                <w:rFonts w:ascii="Barlow Medium" w:hAnsi="Barlow Medium"/>
                <w:b/>
                <w:bCs/>
                <w:color w:val="000000"/>
                <w:sz w:val="20"/>
                <w:szCs w:val="20"/>
              </w:rPr>
              <w:t>1,908,903</w:t>
            </w:r>
          </w:p>
        </w:tc>
        <w:tc>
          <w:tcPr>
            <w:tcW w:w="0" w:type="auto"/>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2.20</w:t>
            </w:r>
          </w:p>
        </w:tc>
      </w:tr>
      <w:tr w:rsidR="004850C2" w:rsidTr="004850C2">
        <w:trPr>
          <w:trHeight w:val="300"/>
          <w:jc w:val="center"/>
        </w:trPr>
        <w:tc>
          <w:tcPr>
            <w:tcW w:w="0" w:type="auto"/>
            <w:tcBorders>
              <w:right w:val="nil"/>
            </w:tcBorders>
            <w:noWrap/>
            <w:hideMark/>
          </w:tcPr>
          <w:p w:rsidR="004850C2" w:rsidRDefault="004850C2">
            <w:pPr>
              <w:rPr>
                <w:rFonts w:ascii="Barlow Medium" w:hAnsi="Barlow Medium" w:cs="Calibri"/>
                <w:color w:val="000000"/>
                <w:sz w:val="20"/>
                <w:szCs w:val="20"/>
              </w:rPr>
            </w:pPr>
          </w:p>
        </w:tc>
        <w:tc>
          <w:tcPr>
            <w:tcW w:w="0" w:type="auto"/>
            <w:tcBorders>
              <w:left w:val="nil"/>
              <w:right w:val="nil"/>
            </w:tcBorders>
            <w:noWrap/>
            <w:hideMark/>
          </w:tcPr>
          <w:p w:rsidR="004850C2" w:rsidRDefault="004850C2">
            <w:pPr>
              <w:jc w:val="right"/>
              <w:rPr>
                <w:rFonts w:ascii="Barlow Medium" w:hAnsi="Barlow Medium"/>
                <w:b/>
                <w:bCs/>
                <w:color w:val="000000"/>
                <w:sz w:val="20"/>
                <w:szCs w:val="20"/>
              </w:rPr>
            </w:pPr>
            <w:r>
              <w:rPr>
                <w:rFonts w:ascii="Barlow Medium" w:hAnsi="Barlow Medium"/>
                <w:b/>
                <w:bCs/>
                <w:color w:val="000000"/>
                <w:sz w:val="20"/>
                <w:szCs w:val="20"/>
              </w:rPr>
              <w:t>78,519,270</w:t>
            </w:r>
          </w:p>
        </w:tc>
        <w:tc>
          <w:tcPr>
            <w:tcW w:w="0" w:type="auto"/>
            <w:tcBorders>
              <w:left w:val="nil"/>
            </w:tcBorders>
            <w:noWrap/>
            <w:hideMark/>
          </w:tcPr>
          <w:p w:rsidR="004850C2" w:rsidRDefault="004850C2">
            <w:pPr>
              <w:jc w:val="right"/>
              <w:rPr>
                <w:rFonts w:ascii="Barlow Medium" w:hAnsi="Barlow Medium" w:cs="Calibri"/>
                <w:color w:val="000000"/>
                <w:sz w:val="20"/>
                <w:szCs w:val="20"/>
              </w:rPr>
            </w:pPr>
            <w:r>
              <w:rPr>
                <w:rFonts w:ascii="Barlow Medium" w:hAnsi="Barlow Medium" w:cs="Calibri"/>
                <w:color w:val="000000"/>
                <w:sz w:val="20"/>
                <w:szCs w:val="20"/>
              </w:rPr>
              <w:t>100</w:t>
            </w:r>
          </w:p>
        </w:tc>
      </w:tr>
    </w:tbl>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El 32.97% de estos recursos se destinaron para atender las acciones directamente relacionadas con las conclusiones y recomendaciones del dictamen, en tanto que el 67.03% restante se comprometió a acciones encaminadas a lograr la igualdad entre mujeres y hombres, así como a la prevención, atención, investigación, sanción y erradicación de la violencia contras las mujeres en el Estado. Se presenta a continuación la gráfica por conclusión.</w:t>
      </w:r>
    </w:p>
    <w:p w:rsidR="004850C2" w:rsidRDefault="004850C2" w:rsidP="004850C2">
      <w:pPr>
        <w:jc w:val="both"/>
        <w:rPr>
          <w:rFonts w:ascii="Barlow Medium" w:eastAsiaTheme="minorHAnsi" w:hAnsi="Barlow Medium" w:cs="Arial"/>
          <w:lang w:eastAsia="en-US"/>
        </w:rPr>
      </w:pP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Gráfica 5. Distribución porcentual de la inversión por conclusión</w:t>
      </w:r>
    </w:p>
    <w:p w:rsidR="004850C2" w:rsidRDefault="004850C2" w:rsidP="004850C2">
      <w:pPr>
        <w:jc w:val="both"/>
        <w:rPr>
          <w:rFonts w:ascii="Barlow Medium" w:eastAsiaTheme="minorHAnsi" w:hAnsi="Barlow Medium" w:cs="Arial"/>
          <w:lang w:eastAsia="en-US"/>
        </w:rPr>
      </w:pPr>
    </w:p>
    <w:p w:rsidR="004850C2" w:rsidRDefault="004850C2" w:rsidP="004850C2">
      <w:pPr>
        <w:jc w:val="center"/>
        <w:rPr>
          <w:rFonts w:ascii="Barlow Medium" w:eastAsiaTheme="minorHAnsi" w:hAnsi="Barlow Medium" w:cs="Arial"/>
          <w:lang w:eastAsia="en-US"/>
        </w:rPr>
      </w:pPr>
      <w:r>
        <w:rPr>
          <w:rFonts w:ascii="Barlow Medium" w:eastAsiaTheme="minorHAnsi" w:hAnsi="Barlow Medium" w:cs="Arial"/>
          <w:noProof/>
          <w:lang w:val="es-MX" w:eastAsia="es-MX"/>
        </w:rPr>
        <w:lastRenderedPageBreak/>
        <w:drawing>
          <wp:inline distT="0" distB="0" distL="0" distR="0">
            <wp:extent cx="5269865" cy="299910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9865" cy="2999105"/>
                    </a:xfrm>
                    <a:prstGeom prst="rect">
                      <a:avLst/>
                    </a:prstGeom>
                    <a:noFill/>
                    <a:ln>
                      <a:noFill/>
                    </a:ln>
                  </pic:spPr>
                </pic:pic>
              </a:graphicData>
            </a:graphic>
          </wp:inline>
        </w:drawing>
      </w: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La conclusión 8 considera programas que destinan un mínimo de recursos dirigidos exclusivamente a mujeres, lo que compromete 52 millones 630 mil 737 pesos, de los cuales el 82.01% corresponde a programas del Instituto de la Vivienda de Yucatán.</w:t>
      </w: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 xml:space="preserve">Es importante mencionar que la asignación que menos recursos refleja es para la conclusión 6, dado que esta se atenderá con el trabajo institucional de la Fiscalía General del Estado, Consejería Jurídica y la Secretaría de las Mujeres, quienes están generando los entregables necesarios para atender las recomendaciones, sin que esto genere un presupuesto adicional. </w:t>
      </w: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La cantidad de recursos comprometidos por dependencia y entidad se muestra en la siguiente tabla, en la que se observa la asignación total presupuestal para la atención de las distintas conclusiones.</w:t>
      </w: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p>
    <w:p w:rsidR="004850C2" w:rsidRDefault="004850C2" w:rsidP="004850C2">
      <w:pPr>
        <w:jc w:val="center"/>
        <w:rPr>
          <w:rFonts w:ascii="Barlow Medium" w:eastAsiaTheme="minorHAnsi" w:hAnsi="Barlow Medium" w:cs="Arial"/>
          <w:b/>
          <w:lang w:eastAsia="en-US"/>
        </w:rPr>
      </w:pPr>
      <w:r>
        <w:rPr>
          <w:rFonts w:ascii="Barlow Medium" w:eastAsiaTheme="minorHAnsi" w:hAnsi="Barlow Medium" w:cs="Arial"/>
          <w:b/>
          <w:lang w:eastAsia="en-US"/>
        </w:rPr>
        <w:t>Tabla 6. Asignación presupuestal por dependencia o entidad</w:t>
      </w:r>
    </w:p>
    <w:p w:rsidR="004850C2" w:rsidRDefault="004850C2" w:rsidP="004850C2">
      <w:pPr>
        <w:jc w:val="both"/>
        <w:rPr>
          <w:rFonts w:ascii="Barlow Medium" w:eastAsiaTheme="minorHAnsi" w:hAnsi="Barlow Medium" w:cs="Arial"/>
          <w:lang w:eastAsia="en-US"/>
        </w:rPr>
      </w:pPr>
    </w:p>
    <w:tbl>
      <w:tblPr>
        <w:tblW w:w="0" w:type="auto"/>
        <w:jc w:val="center"/>
        <w:tblLook w:val="04A0"/>
      </w:tblPr>
      <w:tblGrid>
        <w:gridCol w:w="2397"/>
        <w:gridCol w:w="1951"/>
      </w:tblGrid>
      <w:tr w:rsidR="004850C2" w:rsidTr="004850C2">
        <w:trPr>
          <w:trHeight w:val="300"/>
          <w:jc w:val="center"/>
        </w:trPr>
        <w:tc>
          <w:tcPr>
            <w:tcW w:w="2397" w:type="dxa"/>
            <w:tcBorders>
              <w:top w:val="single" w:sz="8" w:space="0" w:color="000000" w:themeColor="text1"/>
              <w:left w:val="single" w:sz="8" w:space="0" w:color="000000" w:themeColor="text1"/>
              <w:bottom w:val="nil"/>
              <w:right w:val="nil"/>
            </w:tcBorders>
            <w:noWrap/>
            <w:hideMark/>
          </w:tcPr>
          <w:p w:rsidR="004850C2" w:rsidRDefault="004850C2">
            <w:pPr>
              <w:rPr>
                <w:rFonts w:ascii="Barlow Medium" w:hAnsi="Barlow Medium" w:cs="Calibri"/>
                <w:sz w:val="20"/>
              </w:rPr>
            </w:pPr>
            <w:r>
              <w:rPr>
                <w:rFonts w:ascii="Barlow Medium" w:hAnsi="Barlow Medium" w:cs="Calibri"/>
                <w:sz w:val="20"/>
              </w:rPr>
              <w:t>Institución</w:t>
            </w:r>
          </w:p>
        </w:tc>
        <w:tc>
          <w:tcPr>
            <w:tcW w:w="1951" w:type="dxa"/>
            <w:tcBorders>
              <w:top w:val="single" w:sz="8" w:space="0" w:color="000000" w:themeColor="text1"/>
              <w:left w:val="nil"/>
              <w:bottom w:val="nil"/>
              <w:right w:val="single" w:sz="8" w:space="0" w:color="000000" w:themeColor="text1"/>
            </w:tcBorders>
            <w:noWrap/>
            <w:hideMark/>
          </w:tcPr>
          <w:p w:rsidR="004850C2" w:rsidRDefault="004850C2">
            <w:pPr>
              <w:rPr>
                <w:rFonts w:ascii="Barlow Medium" w:hAnsi="Barlow Medium" w:cs="Calibri"/>
                <w:sz w:val="20"/>
              </w:rPr>
            </w:pPr>
            <w:r>
              <w:rPr>
                <w:rFonts w:ascii="Barlow Medium" w:hAnsi="Barlow Medium" w:cs="Calibri"/>
                <w:sz w:val="20"/>
              </w:rPr>
              <w:t>Presupuesto AVG</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CEEAV</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2,288,171.00</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CJ</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DIF</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115,295.00</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FGE</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200,000.00</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IVEY</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43,163,094.00</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SAF</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4,000,000.00</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lastRenderedPageBreak/>
              <w:t>SEDESOL</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4,078,581.30</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SEDET</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2,730,132.00</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SEGEY</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4,230,808.00</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SEMUJERES</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6,546,627.00</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SEPLAN</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9,820.17</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SGG</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7,670,413.76</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SSP</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1,728,883.53</w:t>
            </w:r>
          </w:p>
        </w:tc>
      </w:tr>
      <w:tr w:rsidR="004850C2" w:rsidTr="004850C2">
        <w:trPr>
          <w:trHeight w:val="300"/>
          <w:jc w:val="center"/>
        </w:trPr>
        <w:tc>
          <w:tcPr>
            <w:tcW w:w="2397" w:type="dxa"/>
            <w:tcBorders>
              <w:top w:val="nil"/>
              <w:left w:val="single" w:sz="8" w:space="0" w:color="000000" w:themeColor="text1"/>
              <w:bottom w:val="nil"/>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SSY</w:t>
            </w:r>
          </w:p>
        </w:tc>
        <w:tc>
          <w:tcPr>
            <w:tcW w:w="1951" w:type="dxa"/>
            <w:tcBorders>
              <w:top w:val="nil"/>
              <w:left w:val="nil"/>
              <w:bottom w:val="nil"/>
              <w:right w:val="single" w:sz="8" w:space="0" w:color="000000" w:themeColor="text1"/>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1,757,444.59</w:t>
            </w:r>
          </w:p>
        </w:tc>
      </w:tr>
      <w:tr w:rsidR="004850C2" w:rsidTr="004850C2">
        <w:trPr>
          <w:trHeight w:val="300"/>
          <w:jc w:val="center"/>
        </w:trPr>
        <w:tc>
          <w:tcPr>
            <w:tcW w:w="2397" w:type="dxa"/>
            <w:tcBorders>
              <w:right w:val="nil"/>
            </w:tcBorders>
            <w:noWrap/>
            <w:hideMark/>
          </w:tcPr>
          <w:p w:rsidR="004850C2" w:rsidRDefault="004850C2">
            <w:pPr>
              <w:rPr>
                <w:rFonts w:ascii="Barlow Medium" w:hAnsi="Barlow Medium" w:cs="Calibri"/>
                <w:color w:val="000000"/>
                <w:sz w:val="20"/>
              </w:rPr>
            </w:pPr>
            <w:r>
              <w:rPr>
                <w:rFonts w:ascii="Barlow Medium" w:hAnsi="Barlow Medium" w:cs="Calibri"/>
                <w:color w:val="000000"/>
                <w:sz w:val="20"/>
              </w:rPr>
              <w:t>Total General</w:t>
            </w:r>
          </w:p>
        </w:tc>
        <w:tc>
          <w:tcPr>
            <w:tcW w:w="1951" w:type="dxa"/>
            <w:tcBorders>
              <w:left w:val="nil"/>
            </w:tcBorders>
            <w:noWrap/>
            <w:hideMark/>
          </w:tcPr>
          <w:p w:rsidR="004850C2" w:rsidRDefault="004850C2">
            <w:pPr>
              <w:jc w:val="right"/>
              <w:rPr>
                <w:rFonts w:ascii="Barlow Medium" w:hAnsi="Barlow Medium" w:cs="Calibri"/>
                <w:color w:val="000000"/>
                <w:sz w:val="20"/>
              </w:rPr>
            </w:pPr>
            <w:r>
              <w:rPr>
                <w:rFonts w:ascii="Barlow Medium" w:hAnsi="Barlow Medium" w:cs="Calibri"/>
                <w:color w:val="000000"/>
                <w:sz w:val="20"/>
              </w:rPr>
              <w:t>78,519,270.35</w:t>
            </w:r>
          </w:p>
        </w:tc>
      </w:tr>
    </w:tbl>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 xml:space="preserve">Como se observa la Consejería Jurídica no destina presupuesto, ya que las acciones que realizan son en materia de legislación no representa un recurso adicional para la institución. </w:t>
      </w:r>
    </w:p>
    <w:p w:rsidR="004850C2" w:rsidRDefault="004850C2" w:rsidP="004850C2">
      <w:pPr>
        <w:jc w:val="both"/>
        <w:rPr>
          <w:rFonts w:ascii="Barlow Medium" w:eastAsiaTheme="minorHAnsi" w:hAnsi="Barlow Medium" w:cs="Arial"/>
          <w:lang w:eastAsia="en-US"/>
        </w:rPr>
      </w:pPr>
    </w:p>
    <w:p w:rsidR="004850C2" w:rsidRDefault="004850C2" w:rsidP="004850C2">
      <w:pPr>
        <w:jc w:val="both"/>
        <w:rPr>
          <w:rFonts w:ascii="Barlow Medium" w:eastAsiaTheme="minorHAnsi" w:hAnsi="Barlow Medium" w:cs="Arial"/>
          <w:lang w:eastAsia="en-US"/>
        </w:rPr>
      </w:pPr>
      <w:r>
        <w:rPr>
          <w:rFonts w:ascii="Barlow Medium" w:eastAsiaTheme="minorHAnsi" w:hAnsi="Barlow Medium" w:cs="Arial"/>
          <w:lang w:eastAsia="en-US"/>
        </w:rPr>
        <w:t xml:space="preserve">Por otra parte, es importante resaltar la creación de un área específica en la Secretaría de las Mujeres para monitorear, dar seguimiento y atender las recomendaciones del dictamen de la alerta de género, así como la coordinación de los trabajos interinstitucionales, para el logro de dichas acciones se destinan dos millones, 608 mil 573 pesos del presupuesto total de la secretaría. </w:t>
      </w:r>
    </w:p>
    <w:p w:rsidR="004850C2" w:rsidRDefault="004850C2" w:rsidP="004850C2">
      <w:pPr>
        <w:jc w:val="both"/>
        <w:rPr>
          <w:rFonts w:ascii="Barlow Medium" w:eastAsiaTheme="minorHAnsi" w:hAnsi="Barlow Medium" w:cs="Arial"/>
          <w:lang w:eastAsia="en-US"/>
        </w:rPr>
      </w:pPr>
    </w:p>
    <w:p w:rsidR="004850C2" w:rsidRDefault="004850C2" w:rsidP="001700E7">
      <w:pPr>
        <w:spacing w:before="120" w:line="276" w:lineRule="auto"/>
        <w:jc w:val="both"/>
        <w:rPr>
          <w:rFonts w:ascii="Barlow Medium" w:eastAsiaTheme="minorHAnsi" w:hAnsi="Barlow Medium" w:cs="Arial"/>
          <w:color w:val="000000"/>
          <w:lang w:val="es-ES" w:eastAsia="en-US"/>
        </w:rPr>
      </w:pPr>
    </w:p>
    <w:p w:rsidR="004850C2" w:rsidRDefault="004850C2" w:rsidP="001700E7">
      <w:pPr>
        <w:spacing w:before="120" w:line="276" w:lineRule="auto"/>
        <w:jc w:val="both"/>
        <w:rPr>
          <w:rFonts w:ascii="Barlow Medium" w:eastAsiaTheme="minorHAnsi" w:hAnsi="Barlow Medium" w:cs="Arial"/>
          <w:color w:val="000000"/>
          <w:lang w:val="es-ES" w:eastAsia="en-US"/>
        </w:rPr>
      </w:pPr>
    </w:p>
    <w:p w:rsidR="004850C2" w:rsidRDefault="004850C2" w:rsidP="001700E7">
      <w:pPr>
        <w:spacing w:before="120" w:line="276" w:lineRule="auto"/>
        <w:jc w:val="both"/>
        <w:rPr>
          <w:rFonts w:ascii="Barlow Medium" w:eastAsiaTheme="minorHAnsi" w:hAnsi="Barlow Medium" w:cs="Arial"/>
          <w:color w:val="000000"/>
          <w:lang w:val="es-ES" w:eastAsia="en-US"/>
        </w:rPr>
      </w:pPr>
    </w:p>
    <w:p w:rsidR="004850C2" w:rsidRDefault="004850C2" w:rsidP="001700E7">
      <w:pPr>
        <w:spacing w:before="120" w:line="276" w:lineRule="auto"/>
        <w:jc w:val="both"/>
        <w:rPr>
          <w:rFonts w:ascii="Barlow Medium" w:eastAsiaTheme="minorHAnsi" w:hAnsi="Barlow Medium" w:cs="Arial"/>
          <w:color w:val="000000"/>
          <w:lang w:val="es-ES" w:eastAsia="en-US"/>
        </w:rPr>
      </w:pPr>
    </w:p>
    <w:p w:rsidR="008047A3" w:rsidRDefault="008047A3">
      <w:pPr>
        <w:rPr>
          <w:rFonts w:ascii="Barlow Medium" w:eastAsiaTheme="minorHAnsi" w:hAnsi="Barlow Medium" w:cs="Arial"/>
          <w:color w:val="000000"/>
          <w:lang w:val="es-ES" w:eastAsia="en-US"/>
        </w:rPr>
        <w:sectPr w:rsidR="008047A3" w:rsidSect="000C3BC0">
          <w:pgSz w:w="12240" w:h="15840"/>
          <w:pgMar w:top="1588" w:right="1168" w:bottom="1869" w:left="1168" w:header="0" w:footer="1242" w:gutter="0"/>
          <w:cols w:space="708"/>
          <w:docGrid w:linePitch="360"/>
        </w:sectPr>
      </w:pPr>
      <w:r>
        <w:rPr>
          <w:rFonts w:ascii="Barlow Medium" w:eastAsiaTheme="minorHAnsi" w:hAnsi="Barlow Medium" w:cs="Arial"/>
          <w:color w:val="000000"/>
          <w:lang w:val="es-ES" w:eastAsia="en-US"/>
        </w:rPr>
        <w:br w:type="page"/>
      </w:r>
    </w:p>
    <w:p w:rsidR="008047A3" w:rsidRDefault="008047A3">
      <w:pPr>
        <w:rPr>
          <w:rFonts w:ascii="Barlow Medium" w:eastAsiaTheme="minorHAnsi" w:hAnsi="Barlow Medium" w:cs="Arial"/>
          <w:color w:val="000000"/>
          <w:lang w:val="es-ES" w:eastAsia="en-US"/>
        </w:rPr>
      </w:pPr>
    </w:p>
    <w:p w:rsidR="008047A3" w:rsidRPr="00FA1984" w:rsidRDefault="008047A3" w:rsidP="008047A3">
      <w:pPr>
        <w:jc w:val="both"/>
        <w:rPr>
          <w:rFonts w:ascii="Barlow" w:hAnsi="Barlow"/>
        </w:rPr>
      </w:pPr>
    </w:p>
    <w:p w:rsidR="008047A3" w:rsidRPr="00FA1984" w:rsidRDefault="008047A3" w:rsidP="008047A3">
      <w:pPr>
        <w:jc w:val="both"/>
        <w:rPr>
          <w:rFonts w:ascii="Barlow" w:hAnsi="Barlow"/>
        </w:rPr>
      </w:pPr>
    </w:p>
    <w:p w:rsidR="008047A3" w:rsidRDefault="008047A3" w:rsidP="008047A3">
      <w:pPr>
        <w:jc w:val="both"/>
        <w:rPr>
          <w:rFonts w:ascii="Barlow" w:eastAsia="Times New Roman" w:hAnsi="Barlow" w:cs="Calibri"/>
          <w:color w:val="000000"/>
          <w:lang w:eastAsia="es-MX"/>
        </w:rPr>
        <w:sectPr w:rsidR="008047A3" w:rsidSect="000C3BC0">
          <w:pgSz w:w="12240" w:h="15840"/>
          <w:pgMar w:top="1588" w:right="1168" w:bottom="1869" w:left="1168" w:header="0" w:footer="1242" w:gutter="0"/>
          <w:cols w:space="708"/>
          <w:docGrid w:linePitch="360"/>
        </w:sectPr>
      </w:pPr>
    </w:p>
    <w:tbl>
      <w:tblPr>
        <w:tblW w:w="15168" w:type="dxa"/>
        <w:tblInd w:w="-1134" w:type="dxa"/>
        <w:tblCellMar>
          <w:left w:w="70" w:type="dxa"/>
          <w:right w:w="70" w:type="dxa"/>
        </w:tblCellMar>
        <w:tblLook w:val="04A0"/>
      </w:tblPr>
      <w:tblGrid>
        <w:gridCol w:w="1984"/>
        <w:gridCol w:w="1135"/>
        <w:gridCol w:w="850"/>
        <w:gridCol w:w="1134"/>
        <w:gridCol w:w="992"/>
        <w:gridCol w:w="993"/>
        <w:gridCol w:w="992"/>
        <w:gridCol w:w="1134"/>
        <w:gridCol w:w="992"/>
        <w:gridCol w:w="993"/>
        <w:gridCol w:w="850"/>
        <w:gridCol w:w="1276"/>
        <w:gridCol w:w="1843"/>
      </w:tblGrid>
      <w:tr w:rsidR="008047A3" w:rsidRPr="00FA1984" w:rsidTr="008047A3">
        <w:trPr>
          <w:gridAfter w:val="2"/>
          <w:wAfter w:w="3119" w:type="dxa"/>
          <w:trHeight w:val="375"/>
        </w:trPr>
        <w:tc>
          <w:tcPr>
            <w:tcW w:w="1984" w:type="dxa"/>
            <w:tcBorders>
              <w:top w:val="nil"/>
              <w:left w:val="nil"/>
              <w:bottom w:val="nil"/>
              <w:right w:val="nil"/>
            </w:tcBorders>
            <w:shd w:val="clear" w:color="000000" w:fill="FFFFFF"/>
            <w:noWrap/>
            <w:vAlign w:val="bottom"/>
          </w:tcPr>
          <w:p w:rsidR="008047A3" w:rsidRDefault="008047A3" w:rsidP="008047A3">
            <w:pPr>
              <w:jc w:val="both"/>
              <w:rPr>
                <w:rFonts w:ascii="Barlow" w:eastAsia="Times New Roman" w:hAnsi="Barlow" w:cs="Calibri"/>
                <w:color w:val="000000"/>
                <w:lang w:eastAsia="es-MX"/>
              </w:rPr>
            </w:pPr>
          </w:p>
          <w:p w:rsidR="008047A3" w:rsidRDefault="008047A3" w:rsidP="008047A3">
            <w:pPr>
              <w:jc w:val="both"/>
              <w:rPr>
                <w:rFonts w:ascii="Barlow" w:eastAsia="Times New Roman" w:hAnsi="Barlow" w:cs="Calibri"/>
                <w:color w:val="000000"/>
                <w:lang w:eastAsia="es-MX"/>
              </w:rPr>
            </w:pPr>
          </w:p>
          <w:p w:rsidR="008047A3" w:rsidRPr="00FA1984" w:rsidRDefault="008047A3" w:rsidP="008047A3">
            <w:pPr>
              <w:jc w:val="both"/>
              <w:rPr>
                <w:rFonts w:ascii="Barlow" w:eastAsia="Times New Roman" w:hAnsi="Barlow" w:cs="Calibri"/>
                <w:color w:val="000000"/>
                <w:lang w:eastAsia="es-MX"/>
              </w:rPr>
            </w:pP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43"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3119" w:type="dxa"/>
          <w:trHeight w:val="375"/>
        </w:trPr>
        <w:tc>
          <w:tcPr>
            <w:tcW w:w="1984" w:type="dxa"/>
            <w:tcBorders>
              <w:top w:val="nil"/>
              <w:left w:val="nil"/>
              <w:bottom w:val="nil"/>
              <w:right w:val="nil"/>
            </w:tcBorders>
            <w:shd w:val="clear" w:color="000000" w:fill="FFFFFF"/>
            <w:noWrap/>
            <w:vAlign w:val="bottom"/>
            <w:hideMark/>
          </w:tcPr>
          <w:p w:rsidR="008047A3"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p w:rsidR="008047A3" w:rsidRPr="00FA1984" w:rsidRDefault="008047A3" w:rsidP="008047A3">
            <w:pPr>
              <w:jc w:val="both"/>
              <w:rPr>
                <w:rFonts w:ascii="Barlow" w:eastAsia="Times New Roman" w:hAnsi="Barlow" w:cs="Calibri"/>
                <w:color w:val="000000"/>
                <w:lang w:eastAsia="es-MX"/>
              </w:rPr>
            </w:pP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43"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5"/>
        </w:trPr>
        <w:tc>
          <w:tcPr>
            <w:tcW w:w="3119"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r>
              <w:rPr>
                <w:rFonts w:ascii="Barlow" w:eastAsia="Times New Roman" w:hAnsi="Barlow" w:cs="Calibri"/>
                <w:color w:val="000000"/>
                <w:lang w:eastAsia="es-MX"/>
              </w:rPr>
              <w:t>Anexo 18 a Balance Presupuestario</w:t>
            </w:r>
          </w:p>
        </w:tc>
        <w:tc>
          <w:tcPr>
            <w:tcW w:w="1984"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43"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30"/>
        </w:trPr>
        <w:tc>
          <w:tcPr>
            <w:tcW w:w="15168" w:type="dxa"/>
            <w:gridSpan w:val="13"/>
            <w:tcBorders>
              <w:top w:val="single" w:sz="12" w:space="0" w:color="auto"/>
              <w:left w:val="single" w:sz="12" w:space="0" w:color="auto"/>
              <w:bottom w:val="single" w:sz="12" w:space="0" w:color="auto"/>
              <w:right w:val="single" w:sz="12" w:space="0" w:color="000000"/>
            </w:tcBorders>
            <w:shd w:val="clear" w:color="000000" w:fill="16365C"/>
            <w:noWrap/>
            <w:vAlign w:val="center"/>
            <w:hideMark/>
          </w:tcPr>
          <w:p w:rsidR="008047A3" w:rsidRPr="00FA1984" w:rsidRDefault="008047A3" w:rsidP="008047A3">
            <w:pPr>
              <w:jc w:val="both"/>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Estado de Yucatán</w:t>
            </w:r>
          </w:p>
        </w:tc>
      </w:tr>
      <w:tr w:rsidR="008047A3" w:rsidRPr="00FA1984" w:rsidTr="008047A3">
        <w:trPr>
          <w:trHeight w:val="330"/>
        </w:trPr>
        <w:tc>
          <w:tcPr>
            <w:tcW w:w="15168" w:type="dxa"/>
            <w:gridSpan w:val="13"/>
            <w:tcBorders>
              <w:top w:val="single" w:sz="12" w:space="0" w:color="auto"/>
              <w:left w:val="single" w:sz="12" w:space="0" w:color="auto"/>
              <w:bottom w:val="single" w:sz="12" w:space="0" w:color="auto"/>
              <w:right w:val="single" w:sz="12" w:space="0" w:color="000000"/>
            </w:tcBorders>
            <w:shd w:val="clear" w:color="000000" w:fill="16365C"/>
            <w:noWrap/>
            <w:vAlign w:val="center"/>
            <w:hideMark/>
          </w:tcPr>
          <w:p w:rsidR="008047A3" w:rsidRPr="00FA1984" w:rsidRDefault="008047A3" w:rsidP="008047A3">
            <w:pPr>
              <w:jc w:val="both"/>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Proyecciones de Ingresos - LDF</w:t>
            </w:r>
          </w:p>
        </w:tc>
      </w:tr>
      <w:tr w:rsidR="008047A3" w:rsidRPr="00FA1984" w:rsidTr="008047A3">
        <w:trPr>
          <w:trHeight w:val="330"/>
        </w:trPr>
        <w:tc>
          <w:tcPr>
            <w:tcW w:w="15168" w:type="dxa"/>
            <w:gridSpan w:val="13"/>
            <w:tcBorders>
              <w:top w:val="nil"/>
              <w:left w:val="single" w:sz="12" w:space="0" w:color="auto"/>
              <w:bottom w:val="nil"/>
              <w:right w:val="single" w:sz="12" w:space="0" w:color="000000"/>
            </w:tcBorders>
            <w:shd w:val="clear" w:color="000000" w:fill="16365C"/>
            <w:noWrap/>
            <w:vAlign w:val="center"/>
            <w:hideMark/>
          </w:tcPr>
          <w:p w:rsidR="008047A3" w:rsidRPr="00FA1984" w:rsidRDefault="008047A3" w:rsidP="008047A3">
            <w:pPr>
              <w:jc w:val="both"/>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(PESOS)</w:t>
            </w:r>
          </w:p>
        </w:tc>
      </w:tr>
      <w:tr w:rsidR="008047A3" w:rsidRPr="00FA1984" w:rsidTr="008047A3">
        <w:trPr>
          <w:trHeight w:val="330"/>
        </w:trPr>
        <w:tc>
          <w:tcPr>
            <w:tcW w:w="15168" w:type="dxa"/>
            <w:gridSpan w:val="13"/>
            <w:tcBorders>
              <w:top w:val="single" w:sz="12" w:space="0" w:color="auto"/>
              <w:left w:val="single" w:sz="12" w:space="0" w:color="auto"/>
              <w:bottom w:val="single" w:sz="12" w:space="0" w:color="auto"/>
              <w:right w:val="single" w:sz="12" w:space="0" w:color="000000"/>
            </w:tcBorders>
            <w:shd w:val="clear" w:color="000000" w:fill="16365C"/>
            <w:noWrap/>
            <w:vAlign w:val="center"/>
            <w:hideMark/>
          </w:tcPr>
          <w:p w:rsidR="008047A3" w:rsidRPr="00FA1984" w:rsidRDefault="008047A3" w:rsidP="008047A3">
            <w:pPr>
              <w:jc w:val="both"/>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 xml:space="preserve">(CIFRAS NOMINALES) </w:t>
            </w:r>
          </w:p>
        </w:tc>
      </w:tr>
      <w:tr w:rsidR="008047A3" w:rsidRPr="00FA1984" w:rsidTr="008047A3">
        <w:trPr>
          <w:trHeight w:val="675"/>
        </w:trPr>
        <w:tc>
          <w:tcPr>
            <w:tcW w:w="3119" w:type="dxa"/>
            <w:gridSpan w:val="2"/>
            <w:vMerge w:val="restart"/>
            <w:tcBorders>
              <w:top w:val="nil"/>
              <w:left w:val="single" w:sz="8" w:space="0" w:color="auto"/>
              <w:bottom w:val="single" w:sz="8" w:space="0" w:color="000000"/>
              <w:right w:val="single" w:sz="8" w:space="0" w:color="auto"/>
            </w:tcBorders>
            <w:shd w:val="clear" w:color="000000" w:fill="DCE6F1"/>
            <w:noWrap/>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Concepto (b)</w:t>
            </w:r>
          </w:p>
        </w:tc>
        <w:tc>
          <w:tcPr>
            <w:tcW w:w="1984" w:type="dxa"/>
            <w:gridSpan w:val="2"/>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2019</w:t>
            </w:r>
          </w:p>
        </w:tc>
        <w:tc>
          <w:tcPr>
            <w:tcW w:w="1985" w:type="dxa"/>
            <w:gridSpan w:val="2"/>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2020</w:t>
            </w:r>
          </w:p>
        </w:tc>
        <w:tc>
          <w:tcPr>
            <w:tcW w:w="2126" w:type="dxa"/>
            <w:gridSpan w:val="2"/>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2021</w:t>
            </w:r>
          </w:p>
        </w:tc>
        <w:tc>
          <w:tcPr>
            <w:tcW w:w="1985" w:type="dxa"/>
            <w:gridSpan w:val="2"/>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2022</w:t>
            </w:r>
          </w:p>
        </w:tc>
        <w:tc>
          <w:tcPr>
            <w:tcW w:w="2126" w:type="dxa"/>
            <w:gridSpan w:val="2"/>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2023</w:t>
            </w:r>
          </w:p>
        </w:tc>
        <w:tc>
          <w:tcPr>
            <w:tcW w:w="1843" w:type="dxa"/>
            <w:vMerge w:val="restart"/>
            <w:tcBorders>
              <w:top w:val="nil"/>
              <w:left w:val="single" w:sz="8" w:space="0" w:color="auto"/>
              <w:bottom w:val="single" w:sz="8" w:space="0" w:color="000000"/>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2024</w:t>
            </w:r>
          </w:p>
        </w:tc>
      </w:tr>
      <w:tr w:rsidR="008047A3" w:rsidRPr="00FA1984" w:rsidTr="008047A3">
        <w:trPr>
          <w:trHeight w:val="450"/>
        </w:trPr>
        <w:tc>
          <w:tcPr>
            <w:tcW w:w="3119"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1984"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1985"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2126"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1985"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2126" w:type="dxa"/>
            <w:gridSpan w:val="2"/>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c>
          <w:tcPr>
            <w:tcW w:w="1843"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1.   Ingresos de Libre Disposición (1=A+B+C+D+E+F+G+H+I+J+K+L)</w:t>
            </w:r>
          </w:p>
        </w:tc>
        <w:tc>
          <w:tcPr>
            <w:tcW w:w="1984"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22,148,351,672.00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23,716,840,015.47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25,416,326,144.69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27,259,814,228.80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29,261,828,760.36 </w:t>
            </w:r>
          </w:p>
        </w:tc>
        <w:tc>
          <w:tcPr>
            <w:tcW w:w="1843"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31,438,616,626.07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Impuestos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2,083,701,944.00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2,166,409,471.31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2,252,399,874.60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2,341,803,459.73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2,434,755,704.73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2,531,397,465.09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B.     Cuotas y Aportaciones de Seguridad Social</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1,026,632,941.00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1,061,538,460.99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1,097,630,768.67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1,134,950,214.80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1,173,538,522.11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1,213,438,831.86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C.    Contribuciones de Mejoras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D.    Derechos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1,353,895,149.00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1,555,301,992.59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1,786,670,326.68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2,052,457,253.60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2,357,782,918.85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2,708,529,146.06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E.     Productos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259,434,828.00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268,255,612.15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277,376,302.97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286,807,097.27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296,558,538.57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306,641,528.88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F.     Aprovechamientos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86,935,965.00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101,603,441.49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118,745,553.96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138,779,812.75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162,194,168.83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189,558,898.25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G.    Ingresos por Venta de Bienes y Prestación de Servicios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2,099,926,716.00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2,171,324,224.34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2,245,149,247.97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2,321,484,322.40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2,400,414,789.36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2,482,028,892.20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H.    Participaciones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14,813,109,213.00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15,895,481,834.11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17,056,941,868.54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18,303,268,120.03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19,640,661,641.20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21,075,776,586.70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I.      Incentivos Derivados de la Colaboración Fiscal</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424,714,916.00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496,924,978.48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581,412,201.31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680,263,948.22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795,922,476.70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931,245,277.03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J.     Transferencias y Asignaciones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K.     Convenios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L.     Otros Ingresos de Libre Disposición</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   Transferencias Federales Etiquetadas (2=A+B+C+D+E)</w:t>
            </w:r>
          </w:p>
        </w:tc>
        <w:tc>
          <w:tcPr>
            <w:tcW w:w="1984"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18,441,656,992.00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19,258,609,119.90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20,117,439,111.41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21,020,346,491.40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21,969,646,816.16 </w:t>
            </w:r>
          </w:p>
        </w:tc>
        <w:tc>
          <w:tcPr>
            <w:tcW w:w="1843"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22,967,777,803.60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Aportaciones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13,124,756,419.00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13,807,937,499.27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14,526,680,107.20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15,282,835,321.93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16,078,350,576.58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16,915,274,673.69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B.    Convenios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3,411,316,692.00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3,437,080,736.30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3,463,039,364.11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3,489,194,045.03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3,515,546,259.75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3,542,097,500.16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C.    Fondos Distintos de Aportaciones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D.    Transferencias, Asignaciones, Subsidios y Subvenciones, y Pensiones y Jubilaciones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1,905,583,881.00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2,013,590,884.33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2,127,719,640.09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2,248,317,124.44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2,375,749,979.83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2,510,405,629.75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E.    Otras Transferencias Federales Etiquetadas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3.   Ingresos Derivados de Financiamientos (3=A)</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Ingresos Derivados de Financiamientos</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4.   Total de Ingresos Proyectados (4=1+2+3)</w:t>
            </w:r>
          </w:p>
        </w:tc>
        <w:tc>
          <w:tcPr>
            <w:tcW w:w="1984"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40,590,008,664.00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42,975,449,135.37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45,533,765,256.10 </w:t>
            </w:r>
          </w:p>
        </w:tc>
        <w:tc>
          <w:tcPr>
            <w:tcW w:w="1985"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48,280,160,720.20 </w:t>
            </w:r>
          </w:p>
        </w:tc>
        <w:tc>
          <w:tcPr>
            <w:tcW w:w="2126" w:type="dxa"/>
            <w:gridSpan w:val="2"/>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51,231,475,576.51 </w:t>
            </w:r>
          </w:p>
        </w:tc>
        <w:tc>
          <w:tcPr>
            <w:tcW w:w="1843"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54,406,394,429.67 </w:t>
            </w:r>
          </w:p>
        </w:tc>
      </w:tr>
      <w:tr w:rsidR="008047A3" w:rsidRPr="00FA1984" w:rsidTr="008047A3">
        <w:trPr>
          <w:trHeight w:val="315"/>
        </w:trPr>
        <w:tc>
          <w:tcPr>
            <w:tcW w:w="3119" w:type="dxa"/>
            <w:gridSpan w:val="2"/>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4"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985"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126" w:type="dxa"/>
            <w:gridSpan w:val="2"/>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843"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2512"/>
        </w:trPr>
        <w:tc>
          <w:tcPr>
            <w:tcW w:w="15168" w:type="dxa"/>
            <w:gridSpan w:val="13"/>
            <w:tcBorders>
              <w:top w:val="nil"/>
              <w:left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b/>
                <w:bCs/>
                <w:color w:val="000000"/>
                <w:sz w:val="20"/>
                <w:szCs w:val="20"/>
                <w:lang w:eastAsia="es-MX"/>
              </w:rPr>
              <w:lastRenderedPageBreak/>
              <w:t>Datos Informativo</w:t>
            </w:r>
            <w:r>
              <w:rPr>
                <w:rFonts w:ascii="Barlow" w:eastAsia="Times New Roman" w:hAnsi="Barlow" w:cs="Calibri"/>
                <w:b/>
                <w:bCs/>
                <w:color w:val="000000"/>
                <w:sz w:val="20"/>
                <w:szCs w:val="20"/>
                <w:lang w:eastAsia="es-MX"/>
              </w:rPr>
              <w:t>s</w:t>
            </w:r>
          </w:p>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1. Ingresos Derivados de Financiamientos con Fuente de Pago de Recursos de Libre Disposición</w:t>
            </w:r>
          </w:p>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2. Ingresos Derivados de Financiamientos con Fuente de Pago de Transferencias Federales Etiquetada </w:t>
            </w:r>
          </w:p>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b/>
                <w:bCs/>
                <w:color w:val="000000"/>
                <w:sz w:val="20"/>
                <w:szCs w:val="20"/>
                <w:lang w:eastAsia="es-MX"/>
              </w:rPr>
              <w:t>3. Ingresos Derivados de Financiamiento (3 = 1 + 2)</w:t>
            </w:r>
          </w:p>
        </w:tc>
      </w:tr>
    </w:tbl>
    <w:p w:rsidR="008047A3" w:rsidRPr="00FA1984" w:rsidRDefault="008047A3" w:rsidP="008047A3">
      <w:pPr>
        <w:jc w:val="both"/>
        <w:rPr>
          <w:rFonts w:ascii="Barlow" w:hAnsi="Barlow"/>
        </w:rPr>
      </w:pPr>
    </w:p>
    <w:tbl>
      <w:tblPr>
        <w:tblW w:w="14601" w:type="dxa"/>
        <w:tblInd w:w="-993" w:type="dxa"/>
        <w:tblCellMar>
          <w:left w:w="70" w:type="dxa"/>
          <w:right w:w="70" w:type="dxa"/>
        </w:tblCellMar>
        <w:tblLook w:val="04A0"/>
      </w:tblPr>
      <w:tblGrid>
        <w:gridCol w:w="3261"/>
        <w:gridCol w:w="2073"/>
        <w:gridCol w:w="2061"/>
        <w:gridCol w:w="2128"/>
        <w:gridCol w:w="2126"/>
        <w:gridCol w:w="2144"/>
        <w:gridCol w:w="2064"/>
      </w:tblGrid>
      <w:tr w:rsidR="008047A3" w:rsidRPr="00FA1984" w:rsidTr="008047A3">
        <w:trPr>
          <w:trHeight w:val="375"/>
        </w:trPr>
        <w:tc>
          <w:tcPr>
            <w:tcW w:w="326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t>ANEXO 18c</w:t>
            </w:r>
          </w:p>
        </w:tc>
        <w:tc>
          <w:tcPr>
            <w:tcW w:w="170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60"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0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75"/>
        </w:trPr>
        <w:tc>
          <w:tcPr>
            <w:tcW w:w="4962" w:type="dxa"/>
            <w:gridSpan w:val="2"/>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t xml:space="preserve">RESULTADO DE EGRESOS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60"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0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5"/>
        </w:trPr>
        <w:tc>
          <w:tcPr>
            <w:tcW w:w="326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60"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01" w:type="dxa"/>
            <w:tcBorders>
              <w:top w:val="nil"/>
              <w:left w:val="nil"/>
              <w:bottom w:val="nil"/>
              <w:right w:val="nil"/>
            </w:tcBorders>
            <w:shd w:val="clear" w:color="000000" w:fill="FFFFFF"/>
            <w:noWrap/>
            <w:vAlign w:val="bottom"/>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75"/>
        </w:trPr>
        <w:tc>
          <w:tcPr>
            <w:tcW w:w="14601" w:type="dxa"/>
            <w:gridSpan w:val="7"/>
            <w:tcBorders>
              <w:top w:val="single" w:sz="8" w:space="0" w:color="000000"/>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GOBIERNO DEL ESTADO DE YUCATÁN</w:t>
            </w:r>
          </w:p>
        </w:tc>
      </w:tr>
      <w:tr w:rsidR="008047A3" w:rsidRPr="00FA1984" w:rsidTr="008047A3">
        <w:trPr>
          <w:trHeight w:val="375"/>
        </w:trPr>
        <w:tc>
          <w:tcPr>
            <w:tcW w:w="14601" w:type="dxa"/>
            <w:gridSpan w:val="7"/>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 xml:space="preserve">Resultados de Egresos </w:t>
            </w:r>
            <w:r w:rsidRPr="00FA1984">
              <w:rPr>
                <w:rFonts w:ascii="Cambria Math" w:eastAsia="Times New Roman" w:hAnsi="Cambria Math" w:cs="Cambria Math"/>
                <w:b/>
                <w:bCs/>
                <w:color w:val="FFFFFF"/>
                <w:sz w:val="28"/>
                <w:szCs w:val="28"/>
                <w:lang w:eastAsia="es-MX"/>
              </w:rPr>
              <w:t>‐</w:t>
            </w:r>
            <w:r w:rsidRPr="00FA1984">
              <w:rPr>
                <w:rFonts w:ascii="Barlow" w:eastAsia="Times New Roman" w:hAnsi="Barlow" w:cs="Calibri"/>
                <w:b/>
                <w:bCs/>
                <w:color w:val="FFFFFF"/>
                <w:sz w:val="28"/>
                <w:szCs w:val="28"/>
                <w:lang w:eastAsia="es-MX"/>
              </w:rPr>
              <w:t xml:space="preserve"> LDF (PESOS)</w:t>
            </w:r>
          </w:p>
        </w:tc>
      </w:tr>
      <w:tr w:rsidR="008047A3" w:rsidRPr="00FA1984" w:rsidTr="008047A3">
        <w:trPr>
          <w:trHeight w:val="315"/>
        </w:trPr>
        <w:tc>
          <w:tcPr>
            <w:tcW w:w="14601" w:type="dxa"/>
            <w:gridSpan w:val="7"/>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w:t>
            </w:r>
          </w:p>
        </w:tc>
      </w:tr>
      <w:tr w:rsidR="008047A3" w:rsidRPr="00FA1984" w:rsidTr="008047A3">
        <w:trPr>
          <w:trHeight w:val="375"/>
        </w:trPr>
        <w:tc>
          <w:tcPr>
            <w:tcW w:w="3261"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Concepto (b)</w:t>
            </w:r>
          </w:p>
        </w:tc>
        <w:tc>
          <w:tcPr>
            <w:tcW w:w="1701"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2013</w:t>
            </w:r>
          </w:p>
        </w:tc>
        <w:tc>
          <w:tcPr>
            <w:tcW w:w="1826"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2014</w:t>
            </w:r>
          </w:p>
        </w:tc>
        <w:tc>
          <w:tcPr>
            <w:tcW w:w="1860"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2015</w:t>
            </w:r>
          </w:p>
        </w:tc>
        <w:tc>
          <w:tcPr>
            <w:tcW w:w="2126"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2016</w:t>
            </w:r>
          </w:p>
        </w:tc>
        <w:tc>
          <w:tcPr>
            <w:tcW w:w="1826" w:type="dxa"/>
            <w:vMerge w:val="restart"/>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2017</w:t>
            </w:r>
          </w:p>
        </w:tc>
        <w:tc>
          <w:tcPr>
            <w:tcW w:w="2001" w:type="dxa"/>
            <w:tcBorders>
              <w:top w:val="nil"/>
              <w:left w:val="nil"/>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2018</w:t>
            </w:r>
          </w:p>
        </w:tc>
      </w:tr>
      <w:tr w:rsidR="008047A3" w:rsidRPr="00FA1984" w:rsidTr="008047A3">
        <w:trPr>
          <w:trHeight w:val="390"/>
        </w:trPr>
        <w:tc>
          <w:tcPr>
            <w:tcW w:w="3261"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1701"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1826"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1860"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2126"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1826" w:type="dxa"/>
            <w:vMerge/>
            <w:tcBorders>
              <w:top w:val="nil"/>
              <w:left w:val="single" w:sz="8" w:space="0" w:color="000000"/>
              <w:bottom w:val="nil"/>
              <w:right w:val="single" w:sz="8" w:space="0" w:color="000000"/>
            </w:tcBorders>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p>
        </w:tc>
        <w:tc>
          <w:tcPr>
            <w:tcW w:w="2001" w:type="dxa"/>
            <w:tcBorders>
              <w:top w:val="nil"/>
              <w:left w:val="nil"/>
              <w:bottom w:val="nil"/>
              <w:right w:val="single" w:sz="8" w:space="0" w:color="000000"/>
            </w:tcBorders>
            <w:shd w:val="clear" w:color="000000" w:fill="16365C"/>
            <w:vAlign w:val="center"/>
            <w:hideMark/>
          </w:tcPr>
          <w:p w:rsidR="008047A3" w:rsidRPr="00FA1984" w:rsidRDefault="008047A3" w:rsidP="008047A3">
            <w:pPr>
              <w:jc w:val="both"/>
              <w:rPr>
                <w:rFonts w:ascii="Barlow" w:eastAsia="Times New Roman" w:hAnsi="Barlow" w:cs="Calibri"/>
                <w:b/>
                <w:bCs/>
                <w:color w:val="FFFFFF"/>
                <w:sz w:val="28"/>
                <w:szCs w:val="28"/>
                <w:lang w:eastAsia="es-MX"/>
              </w:rPr>
            </w:pPr>
            <w:r w:rsidRPr="00FA1984">
              <w:rPr>
                <w:rFonts w:ascii="Barlow" w:eastAsia="Times New Roman" w:hAnsi="Barlow" w:cs="Calibri"/>
                <w:b/>
                <w:bCs/>
                <w:color w:val="FFFFFF"/>
                <w:sz w:val="28"/>
                <w:szCs w:val="28"/>
                <w:lang w:eastAsia="es-MX"/>
              </w:rPr>
              <w:t>(d)</w:t>
            </w:r>
          </w:p>
        </w:tc>
      </w:tr>
      <w:tr w:rsidR="008047A3" w:rsidRPr="00FA1984" w:rsidTr="008047A3">
        <w:trPr>
          <w:trHeight w:val="600"/>
        </w:trPr>
        <w:tc>
          <w:tcPr>
            <w:tcW w:w="3261" w:type="dxa"/>
            <w:tcBorders>
              <w:top w:val="single" w:sz="8" w:space="0" w:color="auto"/>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  Gasto No Etiquetado</w:t>
            </w:r>
            <w:r w:rsidRPr="00FA1984">
              <w:rPr>
                <w:rFonts w:ascii="Barlow" w:eastAsia="Times New Roman" w:hAnsi="Barlow" w:cs="Calibri"/>
                <w:color w:val="000000"/>
                <w:lang w:eastAsia="es-MX"/>
              </w:rPr>
              <w:t xml:space="preserve"> </w:t>
            </w:r>
            <w:r w:rsidRPr="00FA1984">
              <w:rPr>
                <w:rFonts w:ascii="Barlow" w:eastAsia="Times New Roman" w:hAnsi="Barlow" w:cs="Calibri"/>
                <w:b/>
                <w:bCs/>
                <w:color w:val="000000"/>
                <w:lang w:eastAsia="es-MX"/>
              </w:rPr>
              <w:t>(1=A+B+C+D+E+F+G+H+I)</w:t>
            </w:r>
          </w:p>
        </w:tc>
        <w:tc>
          <w:tcPr>
            <w:tcW w:w="1701"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13,468,309,821.44 </w:t>
            </w:r>
          </w:p>
        </w:tc>
        <w:tc>
          <w:tcPr>
            <w:tcW w:w="1826"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14,505,996,736.04 </w:t>
            </w:r>
          </w:p>
        </w:tc>
        <w:tc>
          <w:tcPr>
            <w:tcW w:w="1860"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14,536,508,866.63 </w:t>
            </w:r>
          </w:p>
        </w:tc>
        <w:tc>
          <w:tcPr>
            <w:tcW w:w="2126"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15,900,560,515.95 </w:t>
            </w:r>
          </w:p>
        </w:tc>
        <w:tc>
          <w:tcPr>
            <w:tcW w:w="1826"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18,422,813,673.18 </w:t>
            </w:r>
          </w:p>
        </w:tc>
        <w:tc>
          <w:tcPr>
            <w:tcW w:w="2001" w:type="dxa"/>
            <w:tcBorders>
              <w:top w:val="single" w:sz="8" w:space="0" w:color="auto"/>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22,933,182,782.27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     Servicios Personales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3,338,648,310.85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3,559,396,010.80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3,842,862,349.59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4,533,646,793.10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4,085,113,125.37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5,786,696,185.88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B.     Materiales y Suministros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458,587,661.30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534,711,149.20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576,257,306.10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522,517,793.68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842,900,356.85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1,217,430,611.14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    Servicios Generales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1,082,081,042.70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1,414,846,299.51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1,446,776,886.52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1,504,193,153.77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2,036,382,144.38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2,361,348,664.78 </w:t>
            </w:r>
          </w:p>
        </w:tc>
      </w:tr>
      <w:tr w:rsidR="008047A3" w:rsidRPr="00FA1984" w:rsidTr="008047A3">
        <w:trPr>
          <w:trHeight w:val="9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D.    Transferencias, Asignaciones, Subsidios y Otras Ayudas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5,417,302,628.86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5,848,391,499.06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5,493,061,676.98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6,092,837,438.27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7,879,460,009.20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9,541,777,155.41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E.     Bienes Muebles, Inmuebles e Intangibles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119,619,772.11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224,857,042.19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176,800,762.91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152,479,964.52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95,721,867.61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80,307,243.47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F.     Inversión Pública</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139,490,818.04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106,676,390.05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12,118,148.32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1,066,600.00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195,018,422.73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189,646,467.06 </w:t>
            </w:r>
          </w:p>
        </w:tc>
      </w:tr>
      <w:tr w:rsidR="008047A3" w:rsidRPr="00FA1984" w:rsidTr="008047A3">
        <w:trPr>
          <w:trHeight w:val="9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G.    Inversiones Financieras y Otras Provisiones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10,057,866.38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11,359,374.62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18,210,000.00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55,122,127.77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16,546,510.00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9,445,609.00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H.    Participaciones y Aportaciones </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2,533,655,335.42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2,690,569,236.51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2,645,408,174.87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3,005,026,487.07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3,113,998,720.95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3,452,092,175.34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I.      Deuda Pública</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368,866,385.78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115,189,734.08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325,013,561.34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33,670,157.77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157,672,516.09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294,438,670.19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  Gasto Etiquetado (2=A+B+C+D+E+F+G+H+I)</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16,605,440,147.13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16,850,821,000.63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20,011,726,603.02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20,008,721,112.76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20,534,493,053.48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18,543,500,758.60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A.     Servicios Personales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5,187,272,632.64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5,530,249,309.43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5,908,642,759.05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5,988,068,181.34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7,249,694,492.96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4,576,921,520.75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B.     Materiales y Suministros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158,948,358.83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185,333,071.06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214,817,531.09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255,624,064.60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181,790,208.97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119,772,331.95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C.    Servicios Generales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452,169,087.68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591,221,669.37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618,487,263.79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792,839,876.60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842,523,996.75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459,339,745.80 </w:t>
            </w:r>
          </w:p>
        </w:tc>
      </w:tr>
      <w:tr w:rsidR="008047A3" w:rsidRPr="00FA1984" w:rsidTr="008047A3">
        <w:trPr>
          <w:trHeight w:val="9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D.    Transferencias, Asignaciones, Subsidios y Otras Ayudas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6,911,405,088.05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7,461,389,095.79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9,303,974,813.88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9,796,860,050.73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8,563,866,698.68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10,103,284,846.57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E.     Bienes Muebles, Inmuebles e Intangibles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111,904,948.32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210,354,987.64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323,106,539.20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83,296,865.75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62,743,035.87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76,891,269.70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F.     Inversión Pública</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380,946,834.13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291,331,240.57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158,803,960.67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148,726,459.98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194,989,767.39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175,531,673.58 </w:t>
            </w:r>
          </w:p>
        </w:tc>
      </w:tr>
      <w:tr w:rsidR="008047A3" w:rsidRPr="00FA1984" w:rsidTr="008047A3">
        <w:trPr>
          <w:trHeight w:val="9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G.    Inversiones Financieras y Otras Provisiones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2,868,894.62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3,240,135.38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144,000,000.00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6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H.    Participaciones y Aportaciones</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2,022,235,600.73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2,147,476,343.87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2,236,565,528.99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2,341,580,015.00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2,553,582,250.20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2,630,574,233.32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I.      Deuda Pública</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1,377,688,702.13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430,225,147.54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1,103,328,206.35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601,725,598.76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885,302,602.66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401,185,136.93 </w:t>
            </w:r>
          </w:p>
        </w:tc>
      </w:tr>
      <w:tr w:rsidR="008047A3" w:rsidRPr="00FA1984" w:rsidTr="008047A3">
        <w:trPr>
          <w:trHeight w:val="300"/>
        </w:trPr>
        <w:tc>
          <w:tcPr>
            <w:tcW w:w="3261"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60"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1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26"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01" w:type="dxa"/>
            <w:tcBorders>
              <w:top w:val="nil"/>
              <w:left w:val="nil"/>
              <w:bottom w:val="nil"/>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615"/>
        </w:trPr>
        <w:tc>
          <w:tcPr>
            <w:tcW w:w="3261" w:type="dxa"/>
            <w:tcBorders>
              <w:top w:val="nil"/>
              <w:left w:val="single" w:sz="8" w:space="0" w:color="auto"/>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  Total del Resultado de Egresos (3=1+2)</w:t>
            </w:r>
          </w:p>
        </w:tc>
        <w:tc>
          <w:tcPr>
            <w:tcW w:w="1701"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30,073,749,968.57 </w:t>
            </w:r>
          </w:p>
        </w:tc>
        <w:tc>
          <w:tcPr>
            <w:tcW w:w="1826"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31,356,817,736.67 </w:t>
            </w:r>
          </w:p>
        </w:tc>
        <w:tc>
          <w:tcPr>
            <w:tcW w:w="1860"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34,548,235,469.65 </w:t>
            </w:r>
          </w:p>
        </w:tc>
        <w:tc>
          <w:tcPr>
            <w:tcW w:w="2126"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35,909,281,628.71 </w:t>
            </w:r>
          </w:p>
        </w:tc>
        <w:tc>
          <w:tcPr>
            <w:tcW w:w="1826"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38,957,306,726.66 </w:t>
            </w:r>
          </w:p>
        </w:tc>
        <w:tc>
          <w:tcPr>
            <w:tcW w:w="2001" w:type="dxa"/>
            <w:tcBorders>
              <w:top w:val="nil"/>
              <w:left w:val="nil"/>
              <w:bottom w:val="single" w:sz="8" w:space="0" w:color="auto"/>
              <w:right w:val="single" w:sz="8" w:space="0" w:color="auto"/>
            </w:tcBorders>
            <w:shd w:val="clear" w:color="000000" w:fill="FFFFFF"/>
            <w:noWrap/>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41,476,683,540.87 </w:t>
            </w:r>
          </w:p>
        </w:tc>
      </w:tr>
    </w:tbl>
    <w:p w:rsidR="008047A3" w:rsidRPr="00FA1984" w:rsidRDefault="008047A3" w:rsidP="008047A3">
      <w:pPr>
        <w:jc w:val="both"/>
        <w:rPr>
          <w:rFonts w:ascii="Barlow" w:hAnsi="Barlow"/>
        </w:rPr>
      </w:pPr>
    </w:p>
    <w:p w:rsidR="008047A3" w:rsidRPr="00FA1984" w:rsidRDefault="008047A3" w:rsidP="008047A3">
      <w:pPr>
        <w:jc w:val="both"/>
        <w:rPr>
          <w:rFonts w:ascii="Barlow" w:hAnsi="Barlow"/>
        </w:rPr>
      </w:pPr>
    </w:p>
    <w:p w:rsidR="008047A3" w:rsidRPr="00FA1984" w:rsidRDefault="008047A3" w:rsidP="008047A3">
      <w:pPr>
        <w:jc w:val="both"/>
        <w:rPr>
          <w:rFonts w:ascii="Barlow" w:hAnsi="Barlow"/>
        </w:rPr>
      </w:pPr>
    </w:p>
    <w:p w:rsidR="008047A3" w:rsidRPr="00FA1984" w:rsidRDefault="008047A3" w:rsidP="008047A3">
      <w:pPr>
        <w:rPr>
          <w:rFonts w:ascii="Barlow" w:hAnsi="Barlow"/>
        </w:rPr>
      </w:pPr>
    </w:p>
    <w:tbl>
      <w:tblPr>
        <w:tblW w:w="14755" w:type="dxa"/>
        <w:tblInd w:w="-851" w:type="dxa"/>
        <w:tblCellMar>
          <w:left w:w="70" w:type="dxa"/>
          <w:right w:w="70" w:type="dxa"/>
        </w:tblCellMar>
        <w:tblLook w:val="04A0"/>
      </w:tblPr>
      <w:tblGrid>
        <w:gridCol w:w="4395"/>
        <w:gridCol w:w="1787"/>
        <w:gridCol w:w="2020"/>
        <w:gridCol w:w="1723"/>
        <w:gridCol w:w="1696"/>
        <w:gridCol w:w="1795"/>
        <w:gridCol w:w="1747"/>
      </w:tblGrid>
      <w:tr w:rsidR="008047A3" w:rsidRPr="00FA1984" w:rsidTr="008047A3">
        <w:trPr>
          <w:trHeight w:val="315"/>
        </w:trPr>
        <w:tc>
          <w:tcPr>
            <w:tcW w:w="439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66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02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66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66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66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67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5"/>
        </w:trPr>
        <w:tc>
          <w:tcPr>
            <w:tcW w:w="14755" w:type="dxa"/>
            <w:gridSpan w:val="7"/>
            <w:tcBorders>
              <w:top w:val="single" w:sz="8" w:space="0" w:color="auto"/>
              <w:left w:val="single" w:sz="8" w:space="0" w:color="auto"/>
              <w:bottom w:val="nil"/>
              <w:right w:val="single" w:sz="8" w:space="0" w:color="000000"/>
            </w:tcBorders>
            <w:shd w:val="clear" w:color="000000" w:fill="16365C"/>
            <w:noWrap/>
            <w:vAlign w:val="center"/>
            <w:hideMark/>
          </w:tcPr>
          <w:p w:rsidR="008047A3" w:rsidRPr="00FA1984" w:rsidRDefault="008047A3" w:rsidP="008047A3">
            <w:pPr>
              <w:jc w:val="center"/>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Estado de Yucatán</w:t>
            </w:r>
          </w:p>
        </w:tc>
      </w:tr>
      <w:tr w:rsidR="008047A3" w:rsidRPr="00FA1984" w:rsidTr="008047A3">
        <w:trPr>
          <w:trHeight w:val="315"/>
        </w:trPr>
        <w:tc>
          <w:tcPr>
            <w:tcW w:w="14755" w:type="dxa"/>
            <w:gridSpan w:val="7"/>
            <w:tcBorders>
              <w:top w:val="single" w:sz="8" w:space="0" w:color="auto"/>
              <w:left w:val="single" w:sz="8" w:space="0" w:color="auto"/>
              <w:bottom w:val="nil"/>
              <w:right w:val="single" w:sz="8" w:space="0" w:color="000000"/>
            </w:tcBorders>
            <w:shd w:val="clear" w:color="000000" w:fill="16365C"/>
            <w:noWrap/>
            <w:vAlign w:val="center"/>
            <w:hideMark/>
          </w:tcPr>
          <w:p w:rsidR="008047A3" w:rsidRPr="00FA1984" w:rsidRDefault="008047A3" w:rsidP="008047A3">
            <w:pPr>
              <w:jc w:val="center"/>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 xml:space="preserve">Resultados de Ingresos </w:t>
            </w:r>
            <w:r>
              <w:rPr>
                <w:rFonts w:ascii="Barlow" w:eastAsia="Times New Roman" w:hAnsi="Barlow" w:cs="Calibri"/>
                <w:b/>
                <w:bCs/>
                <w:color w:val="FFFFFF"/>
                <w:sz w:val="20"/>
                <w:szCs w:val="20"/>
                <w:lang w:eastAsia="es-MX"/>
              </w:rPr>
              <w:t>–</w:t>
            </w:r>
            <w:r w:rsidRPr="00FA1984">
              <w:rPr>
                <w:rFonts w:ascii="Barlow" w:eastAsia="Times New Roman" w:hAnsi="Barlow" w:cs="Calibri"/>
                <w:b/>
                <w:bCs/>
                <w:color w:val="FFFFFF"/>
                <w:sz w:val="20"/>
                <w:szCs w:val="20"/>
                <w:lang w:eastAsia="es-MX"/>
              </w:rPr>
              <w:t xml:space="preserve"> LDF</w:t>
            </w:r>
          </w:p>
        </w:tc>
      </w:tr>
      <w:tr w:rsidR="008047A3" w:rsidRPr="00FA1984" w:rsidTr="008047A3">
        <w:trPr>
          <w:trHeight w:val="315"/>
        </w:trPr>
        <w:tc>
          <w:tcPr>
            <w:tcW w:w="14755" w:type="dxa"/>
            <w:gridSpan w:val="7"/>
            <w:tcBorders>
              <w:top w:val="single" w:sz="8" w:space="0" w:color="auto"/>
              <w:left w:val="single" w:sz="8" w:space="0" w:color="auto"/>
              <w:bottom w:val="nil"/>
              <w:right w:val="single" w:sz="8" w:space="0" w:color="000000"/>
            </w:tcBorders>
            <w:shd w:val="clear" w:color="000000" w:fill="16365C"/>
            <w:noWrap/>
            <w:vAlign w:val="center"/>
            <w:hideMark/>
          </w:tcPr>
          <w:p w:rsidR="008047A3" w:rsidRPr="00FA1984" w:rsidRDefault="008047A3" w:rsidP="008047A3">
            <w:pPr>
              <w:jc w:val="center"/>
              <w:rPr>
                <w:rFonts w:ascii="Barlow" w:eastAsia="Times New Roman" w:hAnsi="Barlow" w:cs="Calibri"/>
                <w:b/>
                <w:bCs/>
                <w:color w:val="FFFFFF"/>
                <w:sz w:val="20"/>
                <w:szCs w:val="20"/>
                <w:lang w:eastAsia="es-MX"/>
              </w:rPr>
            </w:pPr>
            <w:r w:rsidRPr="00FA1984">
              <w:rPr>
                <w:rFonts w:ascii="Barlow" w:eastAsia="Times New Roman" w:hAnsi="Barlow" w:cs="Calibri"/>
                <w:b/>
                <w:bCs/>
                <w:color w:val="FFFFFF"/>
                <w:sz w:val="20"/>
                <w:szCs w:val="20"/>
                <w:lang w:eastAsia="es-MX"/>
              </w:rPr>
              <w:t>(PESOS)</w:t>
            </w:r>
          </w:p>
        </w:tc>
      </w:tr>
      <w:tr w:rsidR="008047A3" w:rsidRPr="00FA1984" w:rsidTr="008047A3">
        <w:trPr>
          <w:trHeight w:val="315"/>
        </w:trPr>
        <w:tc>
          <w:tcPr>
            <w:tcW w:w="4395"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Concepto (b)</w:t>
            </w:r>
          </w:p>
        </w:tc>
        <w:tc>
          <w:tcPr>
            <w:tcW w:w="1666"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2013</w:t>
            </w:r>
          </w:p>
        </w:tc>
        <w:tc>
          <w:tcPr>
            <w:tcW w:w="2020"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2014</w:t>
            </w:r>
          </w:p>
        </w:tc>
        <w:tc>
          <w:tcPr>
            <w:tcW w:w="1666"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2015</w:t>
            </w:r>
          </w:p>
        </w:tc>
        <w:tc>
          <w:tcPr>
            <w:tcW w:w="1666"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2016</w:t>
            </w:r>
          </w:p>
        </w:tc>
        <w:tc>
          <w:tcPr>
            <w:tcW w:w="1666"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2017</w:t>
            </w:r>
          </w:p>
        </w:tc>
        <w:tc>
          <w:tcPr>
            <w:tcW w:w="1676" w:type="dxa"/>
            <w:tcBorders>
              <w:top w:val="single" w:sz="8" w:space="0" w:color="auto"/>
              <w:left w:val="nil"/>
              <w:bottom w:val="single" w:sz="8" w:space="0" w:color="auto"/>
              <w:right w:val="single" w:sz="8" w:space="0" w:color="auto"/>
            </w:tcBorders>
            <w:shd w:val="clear" w:color="000000" w:fill="FFFFFF"/>
            <w:vAlign w:val="center"/>
            <w:hideMark/>
          </w:tcPr>
          <w:p w:rsidR="008047A3" w:rsidRPr="00FA1984" w:rsidRDefault="008047A3" w:rsidP="008047A3">
            <w:pPr>
              <w:jc w:val="cente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2018</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ind w:firstLineChars="100" w:firstLine="201"/>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1.  Ingresos de Libre Disposición (1=A+B+C+D+E+F+G+H+I+J+K+L)</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12,054,485,000.42 </w:t>
            </w:r>
          </w:p>
        </w:tc>
        <w:tc>
          <w:tcPr>
            <w:tcW w:w="2020"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13,697,075,445.20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13,777,670,044.09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15,146,574,590.65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17,315,059,454.35 </w:t>
            </w:r>
          </w:p>
        </w:tc>
        <w:tc>
          <w:tcPr>
            <w:tcW w:w="167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21,897,168,478.42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Impuestos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1,182,223,780.97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1,619,867,725.80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1,724,952,981.99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1,730,407,440.47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1,847,773,499.65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1,892,776,554.56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B.    Cuotas y Aportaciones de Seguridad Social</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C.    Contribuciones de Mejoras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D.    Derechos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499,507,465.25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665,768,424.16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689,768,965.11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871,109,481.02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1,299,332,443.47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999,287,521.86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E.    Productos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45,881,184.92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33,649,843.52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110,372,249.67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209,336,159.43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435,414,737.86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936,987,469.04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F.    Aprovechamientos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97,798,071.28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176,220,788.01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177,984,810.69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110,745,298.80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200,286,047.56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213,243,099.59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G.    Ingresos por Venta de Bienes y Prestación de Servicios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67,758.64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183,628,744.66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368,439,652.81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368,475,075.45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462,050,091.30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3,126,559,657.00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H.    Participaciones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w:t>
            </w:r>
            <w:r w:rsidRPr="00FA1984">
              <w:rPr>
                <w:rFonts w:ascii="Barlow" w:eastAsia="Times New Roman" w:hAnsi="Barlow" w:cs="Calibri"/>
                <w:color w:val="000000"/>
                <w:sz w:val="20"/>
                <w:szCs w:val="20"/>
                <w:lang w:eastAsia="es-MX"/>
              </w:rPr>
              <w:lastRenderedPageBreak/>
              <w:t xml:space="preserve">10,002,080,245.87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 xml:space="preserve">  10,609,044,682.37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w:t>
            </w:r>
            <w:r w:rsidRPr="00FA1984">
              <w:rPr>
                <w:rFonts w:ascii="Barlow" w:eastAsia="Times New Roman" w:hAnsi="Barlow" w:cs="Calibri"/>
                <w:color w:val="000000"/>
                <w:sz w:val="20"/>
                <w:szCs w:val="20"/>
                <w:lang w:eastAsia="es-MX"/>
              </w:rPr>
              <w:lastRenderedPageBreak/>
              <w:t xml:space="preserve">10,337,711,731.01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 xml:space="preserve"> </w:t>
            </w:r>
            <w:r w:rsidRPr="00FA1984">
              <w:rPr>
                <w:rFonts w:ascii="Barlow" w:eastAsia="Times New Roman" w:hAnsi="Barlow" w:cs="Calibri"/>
                <w:color w:val="000000"/>
                <w:sz w:val="20"/>
                <w:szCs w:val="20"/>
                <w:lang w:eastAsia="es-MX"/>
              </w:rPr>
              <w:lastRenderedPageBreak/>
              <w:t xml:space="preserve">11,488,026,060.03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 xml:space="preserve">     </w:t>
            </w:r>
            <w:r w:rsidRPr="00FA1984">
              <w:rPr>
                <w:rFonts w:ascii="Barlow" w:eastAsia="Times New Roman" w:hAnsi="Barlow" w:cs="Calibri"/>
                <w:color w:val="000000"/>
                <w:sz w:val="20"/>
                <w:szCs w:val="20"/>
                <w:lang w:eastAsia="es-MX"/>
              </w:rPr>
              <w:lastRenderedPageBreak/>
              <w:t xml:space="preserve">12,608,152,543.21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 xml:space="preserve">   </w:t>
            </w:r>
            <w:r w:rsidRPr="00FA1984">
              <w:rPr>
                <w:rFonts w:ascii="Barlow" w:eastAsia="Times New Roman" w:hAnsi="Barlow" w:cs="Calibri"/>
                <w:color w:val="000000"/>
                <w:sz w:val="20"/>
                <w:szCs w:val="20"/>
                <w:lang w:eastAsia="es-MX"/>
              </w:rPr>
              <w:lastRenderedPageBreak/>
              <w:t xml:space="preserve">14,230,746,944.01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lastRenderedPageBreak/>
              <w:t>I.     Incentivos Derivados de la Colaboración Fiscal</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226,926,493.49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408,895,236.68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368,439,652.81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368,475,075.45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462,050,091.30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497,567,232.37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J.     Transferencias y Asignaciones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K.    Convenios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L.     Otros Ingresos de Libre Disposición</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ind w:firstLineChars="100" w:firstLine="201"/>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2.  Transferencias Federales Etiquetadas</w:t>
            </w:r>
            <w:r w:rsidRPr="00FA1984">
              <w:rPr>
                <w:rFonts w:ascii="Barlow" w:eastAsia="Times New Roman" w:hAnsi="Barlow" w:cs="Calibri"/>
                <w:b/>
                <w:bCs/>
                <w:color w:val="000000"/>
                <w:sz w:val="20"/>
                <w:szCs w:val="20"/>
                <w:vertAlign w:val="superscript"/>
                <w:lang w:eastAsia="es-MX"/>
              </w:rPr>
              <w:t xml:space="preserve"> </w:t>
            </w:r>
            <w:r w:rsidRPr="00FA1984">
              <w:rPr>
                <w:rFonts w:ascii="Barlow" w:eastAsia="Times New Roman" w:hAnsi="Barlow" w:cs="Calibri"/>
                <w:b/>
                <w:bCs/>
                <w:color w:val="000000"/>
                <w:sz w:val="20"/>
                <w:szCs w:val="20"/>
                <w:lang w:eastAsia="es-MX"/>
              </w:rPr>
              <w:t>(2=A+B+C+D+E)</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16,304,616,102.18 </w:t>
            </w:r>
          </w:p>
        </w:tc>
        <w:tc>
          <w:tcPr>
            <w:tcW w:w="2020"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17,321,751,338.56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19,553,589,557.54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19,704,731,745.54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20,520,237,193.40 </w:t>
            </w:r>
          </w:p>
        </w:tc>
        <w:tc>
          <w:tcPr>
            <w:tcW w:w="167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19,680,320,067.78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Aportaciones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9,382,179,915.02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9,951,526,431.47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10,770,581,127.18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11,168,380,800.87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11,883,112,873.00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12,091,816,810.46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B.    Convenios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5,486,603,646.42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5,819,551,714.09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7,085,135,995.36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6,752,661,701.67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6,741,599,374.40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5,696,945,436.32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C.    Fondos Distintos de Aportaciones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540"/>
        </w:trPr>
        <w:tc>
          <w:tcPr>
            <w:tcW w:w="4395" w:type="dxa"/>
            <w:tcBorders>
              <w:top w:val="nil"/>
              <w:left w:val="single" w:sz="8" w:space="0" w:color="auto"/>
              <w:bottom w:val="nil"/>
              <w:right w:val="single" w:sz="8" w:space="0" w:color="auto"/>
            </w:tcBorders>
            <w:shd w:val="clear" w:color="000000" w:fill="FFFFFF"/>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D.    Transferencias, Asignaciones, Subsidios y Subvenciones, y Pensiones y Jubilaciones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1,435,832,540.75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1,550,673,193.00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1,697,872,435.00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1,783,689,243.00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1,895,524,946.00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1,891,557,821.00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E.    Otras Transferencias Federales Etiquetadas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ind w:firstLineChars="100" w:firstLine="201"/>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3.  Ingresos Derivados de Financiamientos (3=A)</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1,950,425,882.23 </w:t>
            </w:r>
          </w:p>
        </w:tc>
        <w:tc>
          <w:tcPr>
            <w:tcW w:w="2020"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89,397,977.14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1,286,169,773.68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880,113,620.36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2,187,200,000.00 </w:t>
            </w:r>
          </w:p>
        </w:tc>
        <w:tc>
          <w:tcPr>
            <w:tcW w:w="167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ind w:firstLineChars="400" w:firstLine="800"/>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A. Ingresos Derivados de Financiamientos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1,950,425,882.23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89,397,977.14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1,286,169,773.68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880,113,620.36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2,187,200,000.00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xml:space="preserve">                                -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DCE6F1"/>
            <w:noWrap/>
            <w:vAlign w:val="center"/>
            <w:hideMark/>
          </w:tcPr>
          <w:p w:rsidR="008047A3" w:rsidRPr="00FA1984" w:rsidRDefault="008047A3" w:rsidP="008047A3">
            <w:pPr>
              <w:ind w:firstLineChars="100" w:firstLine="201"/>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4.  Total de Resultados de Ingresos (4=1+2+3)</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30,309,526,984.83 </w:t>
            </w:r>
          </w:p>
        </w:tc>
        <w:tc>
          <w:tcPr>
            <w:tcW w:w="2020"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31,108,224,760.90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34,617,429,375.31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35,731,419,956.55 </w:t>
            </w:r>
          </w:p>
        </w:tc>
        <w:tc>
          <w:tcPr>
            <w:tcW w:w="166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40,022,496,647.75 </w:t>
            </w:r>
          </w:p>
        </w:tc>
        <w:tc>
          <w:tcPr>
            <w:tcW w:w="1676" w:type="dxa"/>
            <w:tcBorders>
              <w:top w:val="nil"/>
              <w:left w:val="nil"/>
              <w:bottom w:val="nil"/>
              <w:right w:val="single" w:sz="8" w:space="0" w:color="auto"/>
            </w:tcBorders>
            <w:shd w:val="clear" w:color="000000" w:fill="DCE6F1"/>
            <w:vAlign w:val="center"/>
            <w:hideMark/>
          </w:tcPr>
          <w:p w:rsidR="008047A3" w:rsidRPr="00FA1984" w:rsidRDefault="008047A3" w:rsidP="008047A3">
            <w:pPr>
              <w:jc w:val="both"/>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 xml:space="preserve">  41,577,488,546.20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t>Datos Informativos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540"/>
        </w:trPr>
        <w:tc>
          <w:tcPr>
            <w:tcW w:w="4395" w:type="dxa"/>
            <w:tcBorders>
              <w:top w:val="nil"/>
              <w:left w:val="single" w:sz="8" w:space="0" w:color="auto"/>
              <w:bottom w:val="nil"/>
              <w:right w:val="single" w:sz="8" w:space="0" w:color="auto"/>
            </w:tcBorders>
            <w:shd w:val="clear" w:color="000000" w:fill="FFFFFF"/>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1. Ingresos Derivados de Financiamientos con Fuente de Pago de Recursos de Libre Disposición</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540"/>
        </w:trPr>
        <w:tc>
          <w:tcPr>
            <w:tcW w:w="4395" w:type="dxa"/>
            <w:tcBorders>
              <w:top w:val="nil"/>
              <w:left w:val="single" w:sz="8" w:space="0" w:color="auto"/>
              <w:bottom w:val="nil"/>
              <w:right w:val="single" w:sz="8" w:space="0" w:color="auto"/>
            </w:tcBorders>
            <w:shd w:val="clear" w:color="000000" w:fill="FFFFFF"/>
            <w:vAlign w:val="center"/>
            <w:hideMark/>
          </w:tcPr>
          <w:p w:rsidR="008047A3" w:rsidRPr="00FA1984" w:rsidRDefault="008047A3" w:rsidP="008047A3">
            <w:pPr>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2. Ingresos Derivados de Financiamientos con Fuente de Pago de Transferencias Federales Etiquetadas</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00"/>
        </w:trPr>
        <w:tc>
          <w:tcPr>
            <w:tcW w:w="4395" w:type="dxa"/>
            <w:tcBorders>
              <w:top w:val="nil"/>
              <w:left w:val="single" w:sz="8" w:space="0" w:color="auto"/>
              <w:bottom w:val="nil"/>
              <w:right w:val="single" w:sz="8" w:space="0" w:color="auto"/>
            </w:tcBorders>
            <w:shd w:val="clear" w:color="000000" w:fill="FFFFFF"/>
            <w:noWrap/>
            <w:vAlign w:val="center"/>
            <w:hideMark/>
          </w:tcPr>
          <w:p w:rsidR="008047A3" w:rsidRPr="00FA1984" w:rsidRDefault="008047A3" w:rsidP="008047A3">
            <w:pPr>
              <w:rPr>
                <w:rFonts w:ascii="Barlow" w:eastAsia="Times New Roman" w:hAnsi="Barlow" w:cs="Calibri"/>
                <w:b/>
                <w:bCs/>
                <w:color w:val="000000"/>
                <w:sz w:val="20"/>
                <w:szCs w:val="20"/>
                <w:lang w:eastAsia="es-MX"/>
              </w:rPr>
            </w:pPr>
            <w:r w:rsidRPr="00FA1984">
              <w:rPr>
                <w:rFonts w:ascii="Barlow" w:eastAsia="Times New Roman" w:hAnsi="Barlow" w:cs="Calibri"/>
                <w:b/>
                <w:bCs/>
                <w:color w:val="000000"/>
                <w:sz w:val="20"/>
                <w:szCs w:val="20"/>
                <w:lang w:eastAsia="es-MX"/>
              </w:rPr>
              <w:lastRenderedPageBreak/>
              <w:t>3. Ingresos Derivados de Financiamiento (3 = 1 + 2)</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nil"/>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r w:rsidR="008047A3" w:rsidRPr="00FA1984" w:rsidTr="008047A3">
        <w:trPr>
          <w:trHeight w:val="315"/>
        </w:trPr>
        <w:tc>
          <w:tcPr>
            <w:tcW w:w="4395" w:type="dxa"/>
            <w:tcBorders>
              <w:top w:val="nil"/>
              <w:left w:val="single" w:sz="8" w:space="0" w:color="auto"/>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2020"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66"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c>
          <w:tcPr>
            <w:tcW w:w="1676" w:type="dxa"/>
            <w:tcBorders>
              <w:top w:val="nil"/>
              <w:left w:val="nil"/>
              <w:bottom w:val="single" w:sz="8" w:space="0" w:color="auto"/>
              <w:right w:val="single" w:sz="8" w:space="0" w:color="auto"/>
            </w:tcBorders>
            <w:shd w:val="clear" w:color="000000" w:fill="FFFFFF"/>
            <w:vAlign w:val="center"/>
            <w:hideMark/>
          </w:tcPr>
          <w:p w:rsidR="008047A3" w:rsidRPr="00FA1984" w:rsidRDefault="008047A3" w:rsidP="008047A3">
            <w:pPr>
              <w:jc w:val="both"/>
              <w:rPr>
                <w:rFonts w:ascii="Barlow" w:eastAsia="Times New Roman" w:hAnsi="Barlow" w:cs="Calibri"/>
                <w:color w:val="000000"/>
                <w:sz w:val="20"/>
                <w:szCs w:val="20"/>
                <w:lang w:eastAsia="es-MX"/>
              </w:rPr>
            </w:pPr>
            <w:r w:rsidRPr="00FA1984">
              <w:rPr>
                <w:rFonts w:ascii="Barlow" w:eastAsia="Times New Roman" w:hAnsi="Barlow" w:cs="Calibri"/>
                <w:color w:val="000000"/>
                <w:sz w:val="20"/>
                <w:szCs w:val="20"/>
                <w:lang w:eastAsia="es-MX"/>
              </w:rPr>
              <w:t> </w:t>
            </w:r>
          </w:p>
        </w:tc>
      </w:tr>
    </w:tbl>
    <w:p w:rsidR="008047A3" w:rsidRPr="00FA1984" w:rsidRDefault="008047A3" w:rsidP="008047A3">
      <w:pPr>
        <w:rPr>
          <w:rFonts w:ascii="Barlow" w:hAnsi="Barlow"/>
        </w:rPr>
      </w:pPr>
    </w:p>
    <w:tbl>
      <w:tblPr>
        <w:tblW w:w="13751" w:type="dxa"/>
        <w:tblInd w:w="-851" w:type="dxa"/>
        <w:tblCellMar>
          <w:left w:w="70" w:type="dxa"/>
          <w:right w:w="70" w:type="dxa"/>
        </w:tblCellMar>
        <w:tblLook w:val="04A0"/>
      </w:tblPr>
      <w:tblGrid>
        <w:gridCol w:w="3671"/>
        <w:gridCol w:w="2014"/>
        <w:gridCol w:w="1954"/>
        <w:gridCol w:w="1910"/>
        <w:gridCol w:w="1943"/>
        <w:gridCol w:w="1926"/>
        <w:gridCol w:w="2009"/>
      </w:tblGrid>
      <w:tr w:rsidR="008047A3" w:rsidRPr="00FA1984" w:rsidTr="008047A3">
        <w:trPr>
          <w:trHeight w:val="375"/>
        </w:trPr>
        <w:tc>
          <w:tcPr>
            <w:tcW w:w="3671" w:type="dxa"/>
            <w:tcBorders>
              <w:top w:val="nil"/>
              <w:left w:val="nil"/>
              <w:bottom w:val="nil"/>
              <w:right w:val="nil"/>
            </w:tcBorders>
            <w:shd w:val="clear" w:color="000000" w:fill="FFFFFF"/>
            <w:noWrap/>
            <w:vAlign w:val="bottom"/>
            <w:hideMark/>
          </w:tcPr>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Pr="00FA1984" w:rsidRDefault="008047A3" w:rsidP="008047A3">
            <w:pPr>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t>ANEXO</w:t>
            </w:r>
            <w:r>
              <w:rPr>
                <w:rFonts w:ascii="Barlow" w:eastAsia="Times New Roman" w:hAnsi="Barlow" w:cs="Calibri"/>
                <w:b/>
                <w:bCs/>
                <w:color w:val="000000"/>
                <w:sz w:val="28"/>
                <w:szCs w:val="28"/>
                <w:lang w:eastAsia="es-MX"/>
              </w:rPr>
              <w:t xml:space="preserve"> 18</w:t>
            </w:r>
            <w:r w:rsidRPr="00FA1984">
              <w:rPr>
                <w:rFonts w:ascii="Barlow" w:eastAsia="Times New Roman" w:hAnsi="Barlow" w:cs="Calibri"/>
                <w:b/>
                <w:bCs/>
                <w:color w:val="000000"/>
                <w:sz w:val="28"/>
                <w:szCs w:val="28"/>
                <w:lang w:eastAsia="es-MX"/>
              </w:rPr>
              <w:t xml:space="preserve"> b</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51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75"/>
        </w:trPr>
        <w:tc>
          <w:tcPr>
            <w:tcW w:w="5385" w:type="dxa"/>
            <w:gridSpan w:val="2"/>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lastRenderedPageBreak/>
              <w:t>PROYECCIÓN DE EGRESOS</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51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5"/>
        </w:trPr>
        <w:tc>
          <w:tcPr>
            <w:tcW w:w="3671"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51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13751" w:type="dxa"/>
            <w:gridSpan w:val="7"/>
            <w:tcBorders>
              <w:top w:val="single" w:sz="8" w:space="0" w:color="000000"/>
              <w:left w:val="single" w:sz="8" w:space="0" w:color="000000"/>
              <w:bottom w:val="nil"/>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GOBIERNO DEL ESTADO DE YUCATÁN</w:t>
            </w:r>
          </w:p>
        </w:tc>
      </w:tr>
      <w:tr w:rsidR="008047A3" w:rsidRPr="00FA1984" w:rsidTr="008047A3">
        <w:trPr>
          <w:trHeight w:val="300"/>
        </w:trPr>
        <w:tc>
          <w:tcPr>
            <w:tcW w:w="13751" w:type="dxa"/>
            <w:gridSpan w:val="7"/>
            <w:tcBorders>
              <w:top w:val="nil"/>
              <w:left w:val="single" w:sz="8" w:space="0" w:color="000000"/>
              <w:bottom w:val="nil"/>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Proyecciones de Egresos </w:t>
            </w:r>
            <w:r w:rsidRPr="00FA1984">
              <w:rPr>
                <w:rFonts w:ascii="Cambria Math" w:eastAsia="Times New Roman" w:hAnsi="Cambria Math" w:cs="Cambria Math"/>
                <w:b/>
                <w:bCs/>
                <w:color w:val="FFFFFF"/>
                <w:lang w:eastAsia="es-MX"/>
              </w:rPr>
              <w:t>‐</w:t>
            </w:r>
            <w:r w:rsidRPr="00FA1984">
              <w:rPr>
                <w:rFonts w:ascii="Barlow" w:eastAsia="Times New Roman" w:hAnsi="Barlow" w:cs="Calibri"/>
                <w:b/>
                <w:bCs/>
                <w:color w:val="FFFFFF"/>
                <w:lang w:eastAsia="es-MX"/>
              </w:rPr>
              <w:t xml:space="preserve"> LDF </w:t>
            </w:r>
            <w:r w:rsidRPr="00FA1984">
              <w:rPr>
                <w:rFonts w:ascii="Barlow" w:eastAsia="Times New Roman" w:hAnsi="Barlow" w:cs="Calibri"/>
                <w:b/>
                <w:bCs/>
                <w:color w:val="FFFFFF"/>
                <w:lang w:eastAsia="es-MX"/>
              </w:rPr>
              <w:br/>
              <w:t>(PESOS)</w:t>
            </w:r>
          </w:p>
        </w:tc>
      </w:tr>
      <w:tr w:rsidR="008047A3" w:rsidRPr="00FA1984" w:rsidTr="008047A3">
        <w:trPr>
          <w:trHeight w:val="315"/>
        </w:trPr>
        <w:tc>
          <w:tcPr>
            <w:tcW w:w="13751" w:type="dxa"/>
            <w:gridSpan w:val="7"/>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(CIFRAS NOMINALES)</w:t>
            </w:r>
          </w:p>
        </w:tc>
      </w:tr>
      <w:tr w:rsidR="008047A3" w:rsidRPr="00FA1984" w:rsidTr="008047A3">
        <w:trPr>
          <w:trHeight w:val="450"/>
        </w:trPr>
        <w:tc>
          <w:tcPr>
            <w:tcW w:w="3671"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 (b)</w:t>
            </w:r>
          </w:p>
        </w:tc>
        <w:tc>
          <w:tcPr>
            <w:tcW w:w="1714"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2018</w:t>
            </w:r>
          </w:p>
        </w:tc>
        <w:tc>
          <w:tcPr>
            <w:tcW w:w="1714"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2019</w:t>
            </w:r>
          </w:p>
        </w:tc>
        <w:tc>
          <w:tcPr>
            <w:tcW w:w="1714"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2020</w:t>
            </w:r>
          </w:p>
        </w:tc>
        <w:tc>
          <w:tcPr>
            <w:tcW w:w="1714"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2021</w:t>
            </w:r>
          </w:p>
        </w:tc>
        <w:tc>
          <w:tcPr>
            <w:tcW w:w="1714"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2022</w:t>
            </w:r>
          </w:p>
        </w:tc>
        <w:tc>
          <w:tcPr>
            <w:tcW w:w="1510" w:type="dxa"/>
            <w:vMerge w:val="restart"/>
            <w:tcBorders>
              <w:top w:val="nil"/>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2023</w:t>
            </w:r>
          </w:p>
        </w:tc>
      </w:tr>
      <w:tr w:rsidR="008047A3" w:rsidRPr="00FA1984" w:rsidTr="008047A3">
        <w:trPr>
          <w:trHeight w:val="450"/>
        </w:trPr>
        <w:tc>
          <w:tcPr>
            <w:tcW w:w="3671"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714"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714"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714"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714"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714"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510" w:type="dxa"/>
            <w:vMerge/>
            <w:tcBorders>
              <w:top w:val="nil"/>
              <w:left w:val="single" w:sz="8" w:space="0" w:color="000000"/>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r>
      <w:tr w:rsidR="008047A3" w:rsidRPr="00FA1984" w:rsidTr="008047A3">
        <w:trPr>
          <w:trHeight w:val="600"/>
        </w:trPr>
        <w:tc>
          <w:tcPr>
            <w:tcW w:w="3671"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1.  Gasto No Etiquetado (1=A+B+C+D+E+F+G+H+I)</w:t>
            </w:r>
          </w:p>
        </w:tc>
        <w:tc>
          <w:tcPr>
            <w:tcW w:w="1714" w:type="dxa"/>
            <w:tcBorders>
              <w:top w:val="nil"/>
              <w:left w:val="nil"/>
              <w:bottom w:val="nil"/>
              <w:right w:val="nil"/>
            </w:tcBorders>
            <w:shd w:val="clear" w:color="000000" w:fill="F2F2F2"/>
            <w:noWrap/>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22,148,351,672.0 </w:t>
            </w:r>
          </w:p>
        </w:tc>
        <w:tc>
          <w:tcPr>
            <w:tcW w:w="1714"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23,716,840,015.5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25,416,326,144.7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27,259,814,228.8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29,261,828,760.4 </w:t>
            </w:r>
          </w:p>
        </w:tc>
        <w:tc>
          <w:tcPr>
            <w:tcW w:w="1510"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31,438,616,626.1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     Servicios Personales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5,896,395,165.0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6,214,358,399.5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6,587,390,769.8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6,988,858,743.9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7,421,488,534.3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7,888,318,399.8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B.     Materiales y Suministros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693,074,839.0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672,374,451.4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649,857,073.8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621,308,614.7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585,813,333.3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542,315,844.9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C.    Servicios Generales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1,891,167,353.0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1,948,446,087.4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2,017,006,168.5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2,087,471,307.8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2,159,764,344.0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2,233,772,476.0 </w:t>
            </w:r>
          </w:p>
        </w:tc>
      </w:tr>
      <w:tr w:rsidR="008047A3" w:rsidRPr="00FA1984" w:rsidTr="008047A3">
        <w:trPr>
          <w:trHeight w:val="9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D.    Transferencias, Asignaciones, Subsidios y Otras Ayudas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9,811,844,786.0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10,450,459,110.3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11,196,342,986.1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12,007,220,317.1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12,889,958,695.1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13,852,277,459.5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E.     Bienes Muebles, Inmuebles e Intangibles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77,225,538.0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106,930,556.0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141,002,657.2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179,569,546.9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223,210,593.7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272,586,798.5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     Inversión Pública</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62,101,065.0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238,893,962.3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441,025,409.0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671,450,948.2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933,891,261.0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1,232,596,916.5 </w:t>
            </w:r>
          </w:p>
        </w:tc>
      </w:tr>
      <w:tr w:rsidR="008047A3" w:rsidRPr="00FA1984" w:rsidTr="008047A3">
        <w:trPr>
          <w:trHeight w:val="9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    Inversiones Financieras y Otras Provisiones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50,117,504.0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53,379,454.9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57,189,323.4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61,331,169.2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65,840,070.9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70,755,457.9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H.    Participaciones y Aportaciones </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3,611,849,987.0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3,973,870,458.5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4,264,235,467.1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4,575,817,030.0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4,910,165,410.3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5,268,944,146.7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I.      Deuda Pública</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54,575,435.0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58,127,535.1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62,276,289.8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66,786,551.0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71,696,517.7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77,049,126.3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600"/>
        </w:trPr>
        <w:tc>
          <w:tcPr>
            <w:tcW w:w="3671"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2.  Gasto Etiquetado (2=A+B+C+D+E+F+G+H+I)</w:t>
            </w:r>
          </w:p>
        </w:tc>
        <w:tc>
          <w:tcPr>
            <w:tcW w:w="1714" w:type="dxa"/>
            <w:tcBorders>
              <w:top w:val="nil"/>
              <w:left w:val="nil"/>
              <w:bottom w:val="nil"/>
              <w:right w:val="nil"/>
            </w:tcBorders>
            <w:shd w:val="clear" w:color="000000" w:fill="F2F2F2"/>
            <w:noWrap/>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18,441,656,992.0 </w:t>
            </w:r>
          </w:p>
        </w:tc>
        <w:tc>
          <w:tcPr>
            <w:tcW w:w="1714"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19,258,609,119.9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20,117,439,111.4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21,020,346,491.4 </w:t>
            </w:r>
          </w:p>
        </w:tc>
        <w:tc>
          <w:tcPr>
            <w:tcW w:w="1714"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21,969,646,816.2 </w:t>
            </w:r>
          </w:p>
        </w:tc>
        <w:tc>
          <w:tcPr>
            <w:tcW w:w="1510" w:type="dxa"/>
            <w:tcBorders>
              <w:top w:val="nil"/>
              <w:left w:val="nil"/>
              <w:bottom w:val="nil"/>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lang w:eastAsia="es-MX"/>
              </w:rPr>
            </w:pPr>
            <w:r w:rsidRPr="00FA1984">
              <w:rPr>
                <w:rFonts w:ascii="Barlow" w:eastAsia="Times New Roman" w:hAnsi="Barlow" w:cs="Calibri"/>
                <w:b/>
                <w:bCs/>
                <w:lang w:eastAsia="es-MX"/>
              </w:rPr>
              <w:t xml:space="preserve">       22,967,777,803.6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     Servicios Personales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6,398,458,103.0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6,688,277,160.8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6,976,687,968.0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7,279,850,564.8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7,598,541,641.2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7,933,578,994.3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B.     Materiales y Suministros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56,392,193.0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58,946,485.3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61,488,366.1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64,160,260.4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66,969,013.4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69,921,832.8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C.    Servicios Generales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144,882,965.0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151,445,459.2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157,976,065.9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164,840,703.4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172,056,958.9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179,643,349.9 </w:t>
            </w:r>
          </w:p>
        </w:tc>
      </w:tr>
      <w:tr w:rsidR="008047A3" w:rsidRPr="00FA1984" w:rsidTr="008047A3">
        <w:trPr>
          <w:trHeight w:val="9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D.    Transferencias, Asignaciones, Subsidios y Otras Ayudas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7,817,580,086.0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8,171,678,473.2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8,524,056,272.2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8,894,457,678.5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9,283,831,645.2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9,693,177,349.6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E.     Bienes Muebles, Inmuebles e Intangibles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34,446,056.0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36,006,294.9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37,558,952.6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39,191,026.4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40,906,697.6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42,710,369.0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     Inversión Pública</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503,535,325.0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526,343,028.2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549,039,907.2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572,897,698.3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597,977,524.2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624,343,742.4 </w:t>
            </w:r>
          </w:p>
        </w:tc>
      </w:tr>
      <w:tr w:rsidR="008047A3" w:rsidRPr="00FA1984" w:rsidTr="008047A3">
        <w:trPr>
          <w:trHeight w:val="9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    Inversiones Financieras y Otras Provisiones</w:t>
            </w:r>
          </w:p>
        </w:tc>
        <w:tc>
          <w:tcPr>
            <w:tcW w:w="1714" w:type="dxa"/>
            <w:tcBorders>
              <w:top w:val="nil"/>
              <w:left w:val="nil"/>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600"/>
        </w:trPr>
        <w:tc>
          <w:tcPr>
            <w:tcW w:w="3671" w:type="dxa"/>
            <w:tcBorders>
              <w:top w:val="nil"/>
              <w:left w:val="nil"/>
              <w:bottom w:val="nil"/>
              <w:right w:val="single" w:sz="8" w:space="0" w:color="000000"/>
            </w:tcBorders>
            <w:shd w:val="clear" w:color="auto" w:fill="auto"/>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H.    Participaciones y Aportaciones</w:t>
            </w:r>
          </w:p>
        </w:tc>
        <w:tc>
          <w:tcPr>
            <w:tcW w:w="1714"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3,055,779,000.0 </w:t>
            </w:r>
          </w:p>
        </w:tc>
        <w:tc>
          <w:tcPr>
            <w:tcW w:w="1714"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3,175,825,624.8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3,341,136,424.7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3,515,052,124.0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3,698,020,632.6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3,890,513,174.9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I.      Deuda Pública</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430,583,264.0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450,086,593.4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469,495,154.7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489,896,435.5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511,342,703.0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533,888,990.7 </w:t>
            </w:r>
          </w:p>
        </w:tc>
      </w:tr>
      <w:tr w:rsidR="008047A3" w:rsidRPr="00FA1984" w:rsidTr="008047A3">
        <w:trPr>
          <w:trHeight w:val="300"/>
        </w:trPr>
        <w:tc>
          <w:tcPr>
            <w:tcW w:w="3671"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14"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510" w:type="dxa"/>
            <w:tcBorders>
              <w:top w:val="nil"/>
              <w:left w:val="nil"/>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615"/>
        </w:trPr>
        <w:tc>
          <w:tcPr>
            <w:tcW w:w="3671" w:type="dxa"/>
            <w:tcBorders>
              <w:top w:val="nil"/>
              <w:left w:val="nil"/>
              <w:bottom w:val="single" w:sz="8" w:space="0" w:color="000000"/>
              <w:right w:val="single" w:sz="8" w:space="0" w:color="000000"/>
            </w:tcBorders>
            <w:shd w:val="clear" w:color="000000" w:fill="F2F2F2"/>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  Total de Egresos Proyectados (3 = 1 + 2)</w:t>
            </w:r>
          </w:p>
        </w:tc>
        <w:tc>
          <w:tcPr>
            <w:tcW w:w="1714"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40,590,008,664.0 </w:t>
            </w:r>
          </w:p>
        </w:tc>
        <w:tc>
          <w:tcPr>
            <w:tcW w:w="1714"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42,975,449,135.4 </w:t>
            </w:r>
          </w:p>
        </w:tc>
        <w:tc>
          <w:tcPr>
            <w:tcW w:w="1714"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45,533,765,256.1 </w:t>
            </w:r>
          </w:p>
        </w:tc>
        <w:tc>
          <w:tcPr>
            <w:tcW w:w="1714"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48,280,160,720.2 </w:t>
            </w:r>
          </w:p>
        </w:tc>
        <w:tc>
          <w:tcPr>
            <w:tcW w:w="1714"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51,231,475,576.5 </w:t>
            </w:r>
          </w:p>
        </w:tc>
        <w:tc>
          <w:tcPr>
            <w:tcW w:w="1510"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54,406,394,429.7 </w:t>
            </w:r>
          </w:p>
        </w:tc>
      </w:tr>
    </w:tbl>
    <w:p w:rsidR="008047A3" w:rsidRPr="00FA1984" w:rsidRDefault="008047A3" w:rsidP="008047A3">
      <w:pPr>
        <w:rPr>
          <w:rFonts w:ascii="Barlow" w:hAnsi="Barlow"/>
        </w:rPr>
      </w:pPr>
    </w:p>
    <w:tbl>
      <w:tblPr>
        <w:tblW w:w="12899" w:type="dxa"/>
        <w:tblCellMar>
          <w:left w:w="70" w:type="dxa"/>
          <w:right w:w="70" w:type="dxa"/>
        </w:tblCellMar>
        <w:tblLook w:val="04A0"/>
      </w:tblPr>
      <w:tblGrid>
        <w:gridCol w:w="10108"/>
        <w:gridCol w:w="2791"/>
      </w:tblGrid>
      <w:tr w:rsidR="008047A3" w:rsidRPr="00FA1984" w:rsidTr="008047A3">
        <w:trPr>
          <w:trHeight w:val="373"/>
        </w:trPr>
        <w:tc>
          <w:tcPr>
            <w:tcW w:w="10108" w:type="dxa"/>
            <w:tcBorders>
              <w:top w:val="nil"/>
              <w:left w:val="nil"/>
              <w:bottom w:val="nil"/>
              <w:right w:val="nil"/>
            </w:tcBorders>
            <w:shd w:val="clear" w:color="000000" w:fill="FFFFFF"/>
            <w:noWrap/>
            <w:vAlign w:val="bottom"/>
            <w:hideMark/>
          </w:tcPr>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Pr="00FA1984" w:rsidRDefault="008047A3" w:rsidP="008047A3">
            <w:pPr>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t>ANEXO 18A</w:t>
            </w:r>
          </w:p>
        </w:tc>
        <w:tc>
          <w:tcPr>
            <w:tcW w:w="2791"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r>
      <w:tr w:rsidR="008047A3" w:rsidRPr="00FA1984" w:rsidTr="008047A3">
        <w:trPr>
          <w:trHeight w:val="373"/>
        </w:trPr>
        <w:tc>
          <w:tcPr>
            <w:tcW w:w="101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lastRenderedPageBreak/>
              <w:t>BALANCE PRESUPUESTARIO</w:t>
            </w:r>
          </w:p>
        </w:tc>
        <w:tc>
          <w:tcPr>
            <w:tcW w:w="2791"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3"/>
        </w:trPr>
        <w:tc>
          <w:tcPr>
            <w:tcW w:w="101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450"/>
        </w:trPr>
        <w:tc>
          <w:tcPr>
            <w:tcW w:w="12899" w:type="dxa"/>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GOBIERNO DEL ESTADO DE YUCATÁN</w:t>
            </w:r>
            <w:r w:rsidRPr="00FA1984">
              <w:rPr>
                <w:rFonts w:ascii="Barlow" w:eastAsia="Times New Roman" w:hAnsi="Barlow" w:cs="Calibri"/>
                <w:b/>
                <w:bCs/>
                <w:color w:val="FFFFFF"/>
                <w:lang w:eastAsia="es-MX"/>
              </w:rPr>
              <w:br/>
              <w:t xml:space="preserve">Balance Presupuestario </w:t>
            </w:r>
            <w:r w:rsidRPr="00FA1984">
              <w:rPr>
                <w:rFonts w:ascii="Cambria Math" w:eastAsia="Times New Roman" w:hAnsi="Cambria Math" w:cs="Cambria Math"/>
                <w:b/>
                <w:bCs/>
                <w:color w:val="FFFFFF"/>
                <w:lang w:eastAsia="es-MX"/>
              </w:rPr>
              <w:t>‐</w:t>
            </w:r>
            <w:r w:rsidRPr="00FA1984">
              <w:rPr>
                <w:rFonts w:ascii="Barlow" w:eastAsia="Times New Roman" w:hAnsi="Barlow" w:cs="Calibri"/>
                <w:b/>
                <w:bCs/>
                <w:color w:val="FFFFFF"/>
                <w:lang w:eastAsia="es-MX"/>
              </w:rPr>
              <w:t xml:space="preserve"> LDF</w:t>
            </w:r>
            <w:r w:rsidRPr="00FA1984">
              <w:rPr>
                <w:rFonts w:ascii="Barlow" w:eastAsia="Times New Roman" w:hAnsi="Barlow" w:cs="Calibri"/>
                <w:b/>
                <w:bCs/>
                <w:color w:val="FFFFFF"/>
                <w:lang w:eastAsia="es-MX"/>
              </w:rPr>
              <w:br/>
              <w:t>Del 1 de enero al 31 de diciembre de 2018 (PESOS)</w:t>
            </w:r>
          </w:p>
        </w:tc>
      </w:tr>
      <w:tr w:rsidR="008047A3" w:rsidRPr="00FA1984" w:rsidTr="008047A3">
        <w:trPr>
          <w:trHeight w:val="450"/>
        </w:trPr>
        <w:tc>
          <w:tcPr>
            <w:tcW w:w="12899" w:type="dxa"/>
            <w:gridSpan w:val="2"/>
            <w:vMerge/>
            <w:tcBorders>
              <w:top w:val="single" w:sz="8" w:space="0" w:color="auto"/>
              <w:left w:val="single" w:sz="8" w:space="0" w:color="auto"/>
              <w:bottom w:val="single" w:sz="8" w:space="0" w:color="000000"/>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r>
      <w:tr w:rsidR="008047A3" w:rsidRPr="00FA1984" w:rsidTr="008047A3">
        <w:trPr>
          <w:trHeight w:val="313"/>
        </w:trPr>
        <w:tc>
          <w:tcPr>
            <w:tcW w:w="10108" w:type="dxa"/>
            <w:tcBorders>
              <w:top w:val="nil"/>
              <w:left w:val="nil"/>
              <w:bottom w:val="nil"/>
              <w:right w:val="nil"/>
            </w:tcBorders>
            <w:shd w:val="clear" w:color="auto" w:fill="auto"/>
            <w:noWrap/>
            <w:vAlign w:val="bottom"/>
            <w:hideMark/>
          </w:tcPr>
          <w:p w:rsidR="008047A3" w:rsidRPr="00FA1984" w:rsidRDefault="008047A3" w:rsidP="008047A3">
            <w:pPr>
              <w:jc w:val="center"/>
              <w:rPr>
                <w:rFonts w:ascii="Barlow" w:eastAsia="Times New Roman" w:hAnsi="Barlow" w:cs="Calibri"/>
                <w:b/>
                <w:bCs/>
                <w:color w:val="FFFFFF"/>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450"/>
        </w:trPr>
        <w:tc>
          <w:tcPr>
            <w:tcW w:w="10108" w:type="dxa"/>
            <w:vMerge w:val="restart"/>
            <w:tcBorders>
              <w:top w:val="single" w:sz="8" w:space="0" w:color="000000"/>
              <w:left w:val="nil"/>
              <w:bottom w:val="nil"/>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 (c)</w:t>
            </w:r>
          </w:p>
        </w:tc>
        <w:tc>
          <w:tcPr>
            <w:tcW w:w="2791" w:type="dxa"/>
            <w:vMerge w:val="restart"/>
            <w:tcBorders>
              <w:top w:val="single" w:sz="8" w:space="0" w:color="auto"/>
              <w:left w:val="single" w:sz="8" w:space="0" w:color="000000"/>
              <w:bottom w:val="single" w:sz="8" w:space="0" w:color="000000"/>
              <w:right w:val="single" w:sz="8" w:space="0" w:color="auto"/>
            </w:tcBorders>
            <w:shd w:val="clear" w:color="000000" w:fill="16365C"/>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Estimado/ Aprobado (d) </w:t>
            </w:r>
          </w:p>
        </w:tc>
      </w:tr>
      <w:tr w:rsidR="008047A3" w:rsidRPr="00FA1984" w:rsidTr="008047A3">
        <w:trPr>
          <w:trHeight w:val="450"/>
        </w:trPr>
        <w:tc>
          <w:tcPr>
            <w:tcW w:w="10108" w:type="dxa"/>
            <w:vMerge/>
            <w:tcBorders>
              <w:top w:val="single" w:sz="8" w:space="0" w:color="000000"/>
              <w:left w:val="nil"/>
              <w:bottom w:val="nil"/>
              <w:right w:val="single" w:sz="8" w:space="0" w:color="000000"/>
            </w:tcBorders>
            <w:vAlign w:val="center"/>
            <w:hideMark/>
          </w:tcPr>
          <w:p w:rsidR="008047A3" w:rsidRPr="00FA1984" w:rsidRDefault="008047A3" w:rsidP="008047A3">
            <w:pPr>
              <w:rPr>
                <w:rFonts w:ascii="Barlow" w:eastAsia="Times New Roman" w:hAnsi="Barlow" w:cs="Calibri"/>
                <w:b/>
                <w:bCs/>
                <w:color w:val="FFFFFF"/>
                <w:lang w:eastAsia="es-MX"/>
              </w:rPr>
            </w:pPr>
          </w:p>
        </w:tc>
        <w:tc>
          <w:tcPr>
            <w:tcW w:w="2791" w:type="dxa"/>
            <w:vMerge/>
            <w:tcBorders>
              <w:top w:val="single" w:sz="8" w:space="0" w:color="auto"/>
              <w:left w:val="single" w:sz="8" w:space="0" w:color="000000"/>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A. Ingresos Totales (A = A1+A2+A3)</w:t>
            </w:r>
          </w:p>
        </w:tc>
        <w:tc>
          <w:tcPr>
            <w:tcW w:w="2791"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40,590,008,664.0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A1. Ingresos de Libre Disposición</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22,148,351,672.0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A2. Transferencias Federales Etiquetadas</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18,441,656,992.0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A3. Financiamiento Neto</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B. Egresos Presupuestarios</w:t>
            </w:r>
            <w:r w:rsidRPr="00FA1984">
              <w:rPr>
                <w:rFonts w:ascii="Barlow" w:eastAsia="Times New Roman" w:hAnsi="Barlow" w:cs="Calibri"/>
                <w:b/>
                <w:bCs/>
                <w:color w:val="000000"/>
                <w:sz w:val="14"/>
                <w:szCs w:val="14"/>
                <w:lang w:eastAsia="es-MX"/>
              </w:rPr>
              <w:t xml:space="preserve">1 </w:t>
            </w:r>
            <w:r w:rsidRPr="00FA1984">
              <w:rPr>
                <w:rFonts w:ascii="Barlow" w:eastAsia="Times New Roman" w:hAnsi="Barlow" w:cs="Calibri"/>
                <w:b/>
                <w:bCs/>
                <w:color w:val="000000"/>
                <w:lang w:eastAsia="es-MX"/>
              </w:rPr>
              <w:t>(B = B1+B2)</w:t>
            </w:r>
          </w:p>
        </w:tc>
        <w:tc>
          <w:tcPr>
            <w:tcW w:w="2791"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40,480,540,345.0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B1. Gasto No Etiquetado (sin incluir Amortización de la Deuda)</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22,148,351,672.0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B2. Gasto Etiquetado (sin incluir Amortización de la Deuda Pública)</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18,332,188,673.0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3"/>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C. Remanentes del Ejercicio Anterior ( C = C1 + C2 )</w:t>
            </w:r>
          </w:p>
        </w:tc>
        <w:tc>
          <w:tcPr>
            <w:tcW w:w="2791" w:type="dxa"/>
            <w:tcBorders>
              <w:top w:val="nil"/>
              <w:left w:val="nil"/>
              <w:bottom w:val="nil"/>
              <w:right w:val="single" w:sz="8" w:space="0" w:color="auto"/>
            </w:tcBorders>
            <w:shd w:val="clear" w:color="000000" w:fill="F2F2F2"/>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597"/>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C1. Remanentes de Ingresos de Libre Disposición aplicados en el periodo</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597"/>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C2. Remanentes de Transferencias Federales Etiquetadas aplicados en el periodo</w:t>
            </w:r>
          </w:p>
        </w:tc>
        <w:tc>
          <w:tcPr>
            <w:tcW w:w="2791" w:type="dxa"/>
            <w:tcBorders>
              <w:top w:val="nil"/>
              <w:left w:val="nil"/>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000000"/>
              <w:bottom w:val="nil"/>
              <w:right w:val="nil"/>
            </w:tcBorders>
            <w:shd w:val="clear" w:color="auto" w:fill="auto"/>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791" w:type="dxa"/>
            <w:tcBorders>
              <w:top w:val="nil"/>
              <w:left w:val="single" w:sz="8" w:space="0" w:color="000000"/>
              <w:bottom w:val="nil"/>
              <w:right w:val="single" w:sz="8" w:space="0" w:color="auto"/>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auto"/>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I. Balance Presupuestario (I = A – B + C)</w:t>
            </w:r>
          </w:p>
        </w:tc>
        <w:tc>
          <w:tcPr>
            <w:tcW w:w="2791" w:type="dxa"/>
            <w:tcBorders>
              <w:top w:val="nil"/>
              <w:left w:val="single" w:sz="8" w:space="0" w:color="000000"/>
              <w:bottom w:val="nil"/>
              <w:right w:val="single" w:sz="8" w:space="0" w:color="auto"/>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109,468,319.0 </w:t>
            </w:r>
          </w:p>
        </w:tc>
      </w:tr>
      <w:tr w:rsidR="008047A3" w:rsidRPr="00FA1984" w:rsidTr="008047A3">
        <w:trPr>
          <w:trHeight w:val="298"/>
        </w:trPr>
        <w:tc>
          <w:tcPr>
            <w:tcW w:w="10108" w:type="dxa"/>
            <w:tcBorders>
              <w:top w:val="nil"/>
              <w:left w:val="nil"/>
              <w:bottom w:val="nil"/>
              <w:right w:val="single" w:sz="8" w:space="0" w:color="auto"/>
            </w:tcBorders>
            <w:shd w:val="clear" w:color="auto" w:fill="auto"/>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nil"/>
              <w:bottom w:val="nil"/>
              <w:right w:val="single" w:sz="8" w:space="0" w:color="auto"/>
            </w:tcBorders>
            <w:shd w:val="clear" w:color="000000" w:fill="F2F2F2"/>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II. Balance Presupuestario sin Financiamiento Neto (II = I </w:t>
            </w:r>
            <w:r w:rsidRPr="00FA1984">
              <w:rPr>
                <w:rFonts w:ascii="Cambria Math" w:eastAsia="Times New Roman" w:hAnsi="Cambria Math" w:cs="Cambria Math"/>
                <w:b/>
                <w:bCs/>
                <w:color w:val="000000"/>
                <w:lang w:eastAsia="es-MX"/>
              </w:rPr>
              <w:t>‐</w:t>
            </w:r>
            <w:r w:rsidRPr="00FA1984">
              <w:rPr>
                <w:rFonts w:ascii="Barlow" w:eastAsia="Times New Roman" w:hAnsi="Barlow" w:cs="Calibri"/>
                <w:b/>
                <w:bCs/>
                <w:color w:val="000000"/>
                <w:lang w:eastAsia="es-MX"/>
              </w:rPr>
              <w:t xml:space="preserve"> A3)</w:t>
            </w:r>
          </w:p>
        </w:tc>
        <w:tc>
          <w:tcPr>
            <w:tcW w:w="2791" w:type="dxa"/>
            <w:tcBorders>
              <w:top w:val="nil"/>
              <w:left w:val="nil"/>
              <w:bottom w:val="nil"/>
              <w:right w:val="single" w:sz="8" w:space="0" w:color="auto"/>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109,468,319.0 </w:t>
            </w:r>
          </w:p>
        </w:tc>
      </w:tr>
      <w:tr w:rsidR="008047A3" w:rsidRPr="00FA1984" w:rsidTr="008047A3">
        <w:trPr>
          <w:trHeight w:val="298"/>
        </w:trPr>
        <w:tc>
          <w:tcPr>
            <w:tcW w:w="10108" w:type="dxa"/>
            <w:tcBorders>
              <w:top w:val="nil"/>
              <w:left w:val="nil"/>
              <w:bottom w:val="nil"/>
              <w:right w:val="single" w:sz="8" w:space="0" w:color="auto"/>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612"/>
        </w:trPr>
        <w:tc>
          <w:tcPr>
            <w:tcW w:w="10108" w:type="dxa"/>
            <w:tcBorders>
              <w:top w:val="nil"/>
              <w:left w:val="nil"/>
              <w:bottom w:val="single" w:sz="8" w:space="0" w:color="auto"/>
              <w:right w:val="single" w:sz="8" w:space="0" w:color="auto"/>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III. Balance Presupuestario sin Financiamiento Neto y sin Remanentes del Ejercicio Anterior (III= II </w:t>
            </w:r>
            <w:r w:rsidRPr="00FA1984">
              <w:rPr>
                <w:rFonts w:ascii="Cambria Math" w:eastAsia="Times New Roman" w:hAnsi="Cambria Math" w:cs="Cambria Math"/>
                <w:b/>
                <w:bCs/>
                <w:color w:val="000000"/>
                <w:lang w:eastAsia="es-MX"/>
              </w:rPr>
              <w:t>‐</w:t>
            </w:r>
            <w:r w:rsidRPr="00FA1984">
              <w:rPr>
                <w:rFonts w:ascii="Barlow" w:eastAsia="Times New Roman" w:hAnsi="Barlow" w:cs="Calibri"/>
                <w:b/>
                <w:bCs/>
                <w:color w:val="000000"/>
                <w:lang w:eastAsia="es-MX"/>
              </w:rPr>
              <w:t xml:space="preserve"> C)</w:t>
            </w:r>
          </w:p>
        </w:tc>
        <w:tc>
          <w:tcPr>
            <w:tcW w:w="2791" w:type="dxa"/>
            <w:tcBorders>
              <w:top w:val="nil"/>
              <w:left w:val="nil"/>
              <w:bottom w:val="single" w:sz="8" w:space="0" w:color="auto"/>
              <w:right w:val="single" w:sz="8" w:space="0" w:color="auto"/>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109,468,319.0 </w:t>
            </w:r>
          </w:p>
        </w:tc>
      </w:tr>
      <w:tr w:rsidR="008047A3" w:rsidRPr="00FA1984" w:rsidTr="008047A3">
        <w:trPr>
          <w:trHeight w:val="298"/>
        </w:trPr>
        <w:tc>
          <w:tcPr>
            <w:tcW w:w="10108"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3"/>
        </w:trPr>
        <w:tc>
          <w:tcPr>
            <w:tcW w:w="101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3"/>
        </w:trPr>
        <w:tc>
          <w:tcPr>
            <w:tcW w:w="10108" w:type="dxa"/>
            <w:tcBorders>
              <w:top w:val="single" w:sz="8" w:space="0" w:color="000000"/>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w:t>
            </w:r>
          </w:p>
        </w:tc>
        <w:tc>
          <w:tcPr>
            <w:tcW w:w="2791" w:type="dxa"/>
            <w:tcBorders>
              <w:top w:val="single" w:sz="8" w:space="0" w:color="000000"/>
              <w:left w:val="nil"/>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Aprobado </w:t>
            </w:r>
          </w:p>
        </w:tc>
      </w:tr>
      <w:tr w:rsidR="008047A3" w:rsidRPr="00FA1984" w:rsidTr="008047A3">
        <w:trPr>
          <w:trHeight w:val="343"/>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sz w:val="25"/>
                <w:szCs w:val="25"/>
                <w:lang w:eastAsia="es-MX"/>
              </w:rPr>
            </w:pPr>
            <w:r w:rsidRPr="00FA1984">
              <w:rPr>
                <w:rFonts w:ascii="Barlow" w:eastAsia="Times New Roman" w:hAnsi="Barlow" w:cs="Calibri"/>
                <w:color w:val="000000"/>
                <w:sz w:val="25"/>
                <w:szCs w:val="25"/>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E. Intereses, Comisiones y Gastos de la Deuda (E = E1+E2)</w:t>
            </w:r>
          </w:p>
        </w:tc>
        <w:tc>
          <w:tcPr>
            <w:tcW w:w="2791" w:type="dxa"/>
            <w:tcBorders>
              <w:top w:val="nil"/>
              <w:left w:val="nil"/>
              <w:bottom w:val="nil"/>
              <w:right w:val="single" w:sz="8" w:space="0" w:color="000000"/>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485,158,699.0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E1. Intereses, Comisiones y Gastos de la Deuda con Gasto No Etiquetado</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54,575,435.0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E2. Intereses, Comisiones y Gastos de la Deuda con Gasto Etiquetado</w:t>
            </w:r>
          </w:p>
        </w:tc>
        <w:tc>
          <w:tcPr>
            <w:tcW w:w="2791"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430,583,264.0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13"/>
        </w:trPr>
        <w:tc>
          <w:tcPr>
            <w:tcW w:w="10108" w:type="dxa"/>
            <w:tcBorders>
              <w:top w:val="nil"/>
              <w:left w:val="single" w:sz="8" w:space="0" w:color="000000"/>
              <w:bottom w:val="single" w:sz="8" w:space="0" w:color="000000"/>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IV. Balance Primario (IV = III + E)</w:t>
            </w:r>
          </w:p>
        </w:tc>
        <w:tc>
          <w:tcPr>
            <w:tcW w:w="2791" w:type="dxa"/>
            <w:tcBorders>
              <w:top w:val="nil"/>
              <w:left w:val="nil"/>
              <w:bottom w:val="single" w:sz="8" w:space="0" w:color="000000"/>
              <w:right w:val="single" w:sz="8" w:space="0" w:color="000000"/>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594,627,018.0 </w:t>
            </w:r>
          </w:p>
        </w:tc>
      </w:tr>
      <w:tr w:rsidR="008047A3" w:rsidRPr="00FA1984" w:rsidTr="008047A3">
        <w:trPr>
          <w:trHeight w:val="298"/>
        </w:trPr>
        <w:tc>
          <w:tcPr>
            <w:tcW w:w="10108"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3"/>
        </w:trPr>
        <w:tc>
          <w:tcPr>
            <w:tcW w:w="101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612"/>
        </w:trPr>
        <w:tc>
          <w:tcPr>
            <w:tcW w:w="10108" w:type="dxa"/>
            <w:tcBorders>
              <w:top w:val="single" w:sz="8" w:space="0" w:color="000000"/>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w:t>
            </w:r>
          </w:p>
        </w:tc>
        <w:tc>
          <w:tcPr>
            <w:tcW w:w="2791" w:type="dxa"/>
            <w:tcBorders>
              <w:top w:val="single" w:sz="8" w:space="0" w:color="000000"/>
              <w:left w:val="nil"/>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Estimado/ Aprobado </w:t>
            </w:r>
          </w:p>
        </w:tc>
      </w:tr>
      <w:tr w:rsidR="008047A3" w:rsidRPr="00FA1984" w:rsidTr="008047A3">
        <w:trPr>
          <w:trHeight w:val="343"/>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sz w:val="25"/>
                <w:szCs w:val="25"/>
                <w:lang w:eastAsia="es-MX"/>
              </w:rPr>
            </w:pPr>
            <w:r w:rsidRPr="00FA1984">
              <w:rPr>
                <w:rFonts w:ascii="Barlow" w:eastAsia="Times New Roman" w:hAnsi="Barlow" w:cs="Calibri"/>
                <w:color w:val="000000"/>
                <w:sz w:val="25"/>
                <w:szCs w:val="25"/>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F. Financiamiento (F = F1 + F2)</w:t>
            </w:r>
          </w:p>
        </w:tc>
        <w:tc>
          <w:tcPr>
            <w:tcW w:w="2791" w:type="dxa"/>
            <w:tcBorders>
              <w:top w:val="nil"/>
              <w:left w:val="nil"/>
              <w:bottom w:val="nil"/>
              <w:right w:val="single" w:sz="8" w:space="0" w:color="000000"/>
            </w:tcBorders>
            <w:shd w:val="clear" w:color="000000" w:fill="F2F2F2"/>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597"/>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F1. Financiamiento con Fuente de Pago de Ingresos de Libre</w:t>
            </w:r>
            <w:r w:rsidRPr="00FA1984">
              <w:rPr>
                <w:rFonts w:ascii="Barlow" w:eastAsia="Times New Roman" w:hAnsi="Barlow" w:cs="Calibri"/>
                <w:color w:val="000000"/>
                <w:lang w:eastAsia="es-MX"/>
              </w:rPr>
              <w:br/>
              <w:t xml:space="preserve">                        Disposición</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597"/>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F2. Financiamiento con Fuente de Pago de Transferencias Federales Etiquetadas</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G. Amortización de la Deuda (G = G1 + G2)</w:t>
            </w:r>
          </w:p>
        </w:tc>
        <w:tc>
          <w:tcPr>
            <w:tcW w:w="2791" w:type="dxa"/>
            <w:tcBorders>
              <w:top w:val="nil"/>
              <w:left w:val="nil"/>
              <w:bottom w:val="nil"/>
              <w:right w:val="single" w:sz="8" w:space="0" w:color="000000"/>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120,183,389.0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G1. Amortización de la Deuda Pública con Gasto No Etiquetado</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10,715,070.0 </w:t>
            </w:r>
          </w:p>
        </w:tc>
      </w:tr>
      <w:tr w:rsidR="008047A3" w:rsidRPr="00FA1984" w:rsidTr="008047A3">
        <w:trPr>
          <w:trHeight w:val="298"/>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G2. Amortización de la Deuda Pública con Gasto Etiquetado</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109,468,319.0 </w:t>
            </w:r>
          </w:p>
        </w:tc>
      </w:tr>
      <w:tr w:rsidR="008047A3" w:rsidRPr="00FA1984" w:rsidTr="008047A3">
        <w:trPr>
          <w:trHeight w:val="343"/>
        </w:trPr>
        <w:tc>
          <w:tcPr>
            <w:tcW w:w="10108" w:type="dxa"/>
            <w:tcBorders>
              <w:top w:val="nil"/>
              <w:left w:val="single" w:sz="8" w:space="0" w:color="000000"/>
              <w:bottom w:val="nil"/>
              <w:right w:val="single" w:sz="8" w:space="0" w:color="000000"/>
            </w:tcBorders>
            <w:shd w:val="clear" w:color="auto" w:fill="auto"/>
            <w:vAlign w:val="center"/>
            <w:hideMark/>
          </w:tcPr>
          <w:p w:rsidR="008047A3" w:rsidRPr="00FA1984" w:rsidRDefault="008047A3" w:rsidP="008047A3">
            <w:pPr>
              <w:rPr>
                <w:rFonts w:ascii="Barlow" w:eastAsia="Times New Roman" w:hAnsi="Barlow" w:cs="Calibri"/>
                <w:color w:val="000000"/>
                <w:sz w:val="25"/>
                <w:szCs w:val="25"/>
                <w:lang w:eastAsia="es-MX"/>
              </w:rPr>
            </w:pPr>
            <w:r w:rsidRPr="00FA1984">
              <w:rPr>
                <w:rFonts w:ascii="Barlow" w:eastAsia="Times New Roman" w:hAnsi="Barlow" w:cs="Calibri"/>
                <w:color w:val="000000"/>
                <w:sz w:val="25"/>
                <w:szCs w:val="25"/>
                <w:lang w:eastAsia="es-MX"/>
              </w:rPr>
              <w:t> </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313"/>
        </w:trPr>
        <w:tc>
          <w:tcPr>
            <w:tcW w:w="10108" w:type="dxa"/>
            <w:tcBorders>
              <w:top w:val="nil"/>
              <w:left w:val="single" w:sz="8" w:space="0" w:color="000000"/>
              <w:bottom w:val="single" w:sz="8" w:space="0" w:color="000000"/>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A3. Financiamiento Neto (A3 = F – G )</w:t>
            </w:r>
          </w:p>
        </w:tc>
        <w:tc>
          <w:tcPr>
            <w:tcW w:w="2791" w:type="dxa"/>
            <w:tcBorders>
              <w:top w:val="nil"/>
              <w:left w:val="nil"/>
              <w:bottom w:val="single" w:sz="8" w:space="0" w:color="000000"/>
              <w:right w:val="single" w:sz="8" w:space="0" w:color="000000"/>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120,183,389.0 </w:t>
            </w:r>
          </w:p>
        </w:tc>
      </w:tr>
      <w:tr w:rsidR="008047A3" w:rsidRPr="00FA1984" w:rsidTr="008047A3">
        <w:trPr>
          <w:trHeight w:val="298"/>
        </w:trPr>
        <w:tc>
          <w:tcPr>
            <w:tcW w:w="10108"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3"/>
        </w:trPr>
        <w:tc>
          <w:tcPr>
            <w:tcW w:w="101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612"/>
        </w:trPr>
        <w:tc>
          <w:tcPr>
            <w:tcW w:w="10108" w:type="dxa"/>
            <w:tcBorders>
              <w:top w:val="single" w:sz="8" w:space="0" w:color="000000"/>
              <w:left w:val="single" w:sz="8" w:space="0" w:color="000000"/>
              <w:bottom w:val="single" w:sz="8" w:space="0" w:color="000000"/>
              <w:right w:val="single" w:sz="8" w:space="0" w:color="000000"/>
            </w:tcBorders>
            <w:shd w:val="clear" w:color="000000" w:fill="16365C"/>
            <w:vAlign w:val="center"/>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w:t>
            </w:r>
          </w:p>
        </w:tc>
        <w:tc>
          <w:tcPr>
            <w:tcW w:w="2791" w:type="dxa"/>
            <w:tcBorders>
              <w:top w:val="single" w:sz="8" w:space="0" w:color="000000"/>
              <w:left w:val="nil"/>
              <w:bottom w:val="single" w:sz="8" w:space="0" w:color="000000"/>
              <w:right w:val="single" w:sz="8" w:space="0" w:color="000000"/>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Estimado/ Aprobado </w:t>
            </w:r>
          </w:p>
        </w:tc>
      </w:tr>
      <w:tr w:rsidR="008047A3" w:rsidRPr="00FA1984" w:rsidTr="008047A3">
        <w:trPr>
          <w:trHeight w:val="298"/>
        </w:trPr>
        <w:tc>
          <w:tcPr>
            <w:tcW w:w="10108" w:type="dxa"/>
            <w:tcBorders>
              <w:top w:val="nil"/>
              <w:left w:val="nil"/>
              <w:bottom w:val="nil"/>
              <w:right w:val="single" w:sz="8" w:space="0" w:color="000000"/>
            </w:tcBorders>
            <w:shd w:val="clear" w:color="auto" w:fill="auto"/>
            <w:noWrap/>
            <w:vAlign w:val="center"/>
            <w:hideMark/>
          </w:tcPr>
          <w:p w:rsidR="008047A3" w:rsidRPr="00FA1984" w:rsidRDefault="008047A3" w:rsidP="008047A3">
            <w:pPr>
              <w:ind w:firstLineChars="300" w:firstLine="720"/>
              <w:rPr>
                <w:rFonts w:ascii="Barlow" w:eastAsia="Times New Roman" w:hAnsi="Barlow" w:cs="Calibri"/>
                <w:color w:val="000000"/>
                <w:lang w:eastAsia="es-MX"/>
              </w:rPr>
            </w:pPr>
            <w:r w:rsidRPr="00FA1984">
              <w:rPr>
                <w:rFonts w:ascii="Barlow" w:eastAsia="Times New Roman" w:hAnsi="Barlow" w:cs="Calibri"/>
                <w:color w:val="000000"/>
                <w:lang w:eastAsia="es-MX"/>
              </w:rPr>
              <w:t>A1. Ingresos de Libre Disposición</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22,148,351,672.0 </w:t>
            </w:r>
          </w:p>
        </w:tc>
      </w:tr>
      <w:tr w:rsidR="008047A3" w:rsidRPr="00FA1984" w:rsidTr="008047A3">
        <w:trPr>
          <w:trHeight w:val="597"/>
        </w:trPr>
        <w:tc>
          <w:tcPr>
            <w:tcW w:w="10108"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A3.1 Financiamiento Neto con Fuente de Pago de Ingresos de Libre Disposición (A3.1 = F1 – G1)</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10,715,070.0 </w:t>
            </w:r>
          </w:p>
        </w:tc>
      </w:tr>
      <w:tr w:rsidR="008047A3" w:rsidRPr="00FA1984" w:rsidTr="008047A3">
        <w:trPr>
          <w:trHeight w:val="597"/>
        </w:trPr>
        <w:tc>
          <w:tcPr>
            <w:tcW w:w="10108"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900" w:firstLine="2160"/>
              <w:rPr>
                <w:rFonts w:ascii="Barlow" w:eastAsia="Times New Roman" w:hAnsi="Barlow" w:cs="Calibri"/>
                <w:color w:val="000000"/>
                <w:lang w:eastAsia="es-MX"/>
              </w:rPr>
            </w:pPr>
            <w:r w:rsidRPr="00FA1984">
              <w:rPr>
                <w:rFonts w:ascii="Barlow" w:eastAsia="Times New Roman" w:hAnsi="Barlow" w:cs="Calibri"/>
                <w:color w:val="000000"/>
                <w:lang w:eastAsia="es-MX"/>
              </w:rPr>
              <w:t>F1. Financiamiento con Fuente de Pago de Ingresos de Libre Disposición</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597"/>
        </w:trPr>
        <w:tc>
          <w:tcPr>
            <w:tcW w:w="10108"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G1. Amortización de la Deuda Pública con Gasto No </w:t>
            </w:r>
            <w:r w:rsidRPr="00FA1984">
              <w:rPr>
                <w:rFonts w:ascii="Barlow" w:eastAsia="Times New Roman" w:hAnsi="Barlow" w:cs="Calibri"/>
                <w:color w:val="000000"/>
                <w:lang w:eastAsia="es-MX"/>
              </w:rPr>
              <w:br/>
              <w:t xml:space="preserve">                        Etiquetado</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10,715,070.0 </w:t>
            </w:r>
          </w:p>
        </w:tc>
      </w:tr>
      <w:tr w:rsidR="008047A3" w:rsidRPr="00FA1984" w:rsidTr="008047A3">
        <w:trPr>
          <w:trHeight w:val="597"/>
        </w:trPr>
        <w:tc>
          <w:tcPr>
            <w:tcW w:w="10108"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300" w:firstLine="72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B1. Gasto No Etiquetado (sin incluir Amortización de la Deuda </w:t>
            </w:r>
            <w:r w:rsidRPr="00FA1984">
              <w:rPr>
                <w:rFonts w:ascii="Barlow" w:eastAsia="Times New Roman" w:hAnsi="Barlow" w:cs="Calibri"/>
                <w:color w:val="000000"/>
                <w:lang w:eastAsia="es-MX"/>
              </w:rPr>
              <w:br/>
              <w:t xml:space="preserve">                  Pública)</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22,148,351,672.0 </w:t>
            </w:r>
          </w:p>
        </w:tc>
      </w:tr>
      <w:tr w:rsidR="008047A3" w:rsidRPr="00FA1984" w:rsidTr="008047A3">
        <w:trPr>
          <w:trHeight w:val="597"/>
        </w:trPr>
        <w:tc>
          <w:tcPr>
            <w:tcW w:w="10108" w:type="dxa"/>
            <w:tcBorders>
              <w:top w:val="nil"/>
              <w:left w:val="nil"/>
              <w:bottom w:val="nil"/>
              <w:right w:val="single" w:sz="8" w:space="0" w:color="000000"/>
            </w:tcBorders>
            <w:shd w:val="clear" w:color="auto" w:fill="auto"/>
            <w:vAlign w:val="center"/>
            <w:hideMark/>
          </w:tcPr>
          <w:p w:rsidR="008047A3" w:rsidRPr="00FA1984" w:rsidRDefault="008047A3" w:rsidP="008047A3">
            <w:pPr>
              <w:ind w:firstLineChars="300" w:firstLine="72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C1. Remanentes de Ingresos de Libre Disposición aplicados en</w:t>
            </w:r>
            <w:r w:rsidRPr="00FA1984">
              <w:rPr>
                <w:rFonts w:ascii="Barlow" w:eastAsia="Times New Roman" w:hAnsi="Barlow" w:cs="Calibri"/>
                <w:color w:val="000000"/>
                <w:lang w:eastAsia="es-MX"/>
              </w:rPr>
              <w:br/>
              <w:t xml:space="preserve">                  el periodo</w:t>
            </w:r>
          </w:p>
        </w:tc>
        <w:tc>
          <w:tcPr>
            <w:tcW w:w="2791" w:type="dxa"/>
            <w:tcBorders>
              <w:top w:val="nil"/>
              <w:left w:val="nil"/>
              <w:bottom w:val="nil"/>
              <w:right w:val="single" w:sz="8" w:space="0" w:color="000000"/>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nil"/>
              <w:bottom w:val="nil"/>
              <w:right w:val="single" w:sz="8" w:space="0" w:color="000000"/>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w:t>
            </w:r>
            <w:r w:rsidRPr="00FA1984">
              <w:rPr>
                <w:rFonts w:ascii="Barlow" w:eastAsia="Times New Roman" w:hAnsi="Barlow" w:cs="Calibri"/>
                <w:b/>
                <w:bCs/>
                <w:color w:val="000000"/>
                <w:sz w:val="14"/>
                <w:szCs w:val="14"/>
                <w:lang w:eastAsia="es-MX"/>
              </w:rPr>
              <w:t xml:space="preserve">   </w:t>
            </w:r>
            <w:r w:rsidRPr="00FA1984">
              <w:rPr>
                <w:rFonts w:ascii="Barlow" w:eastAsia="Times New Roman" w:hAnsi="Barlow" w:cs="Calibri"/>
                <w:b/>
                <w:bCs/>
                <w:color w:val="000000"/>
                <w:lang w:eastAsia="es-MX"/>
              </w:rPr>
              <w:t>Balance Presupuestario de Recursos Disponibles (V = A1 + A3.1 – B 1 + C1)</w:t>
            </w:r>
          </w:p>
        </w:tc>
        <w:tc>
          <w:tcPr>
            <w:tcW w:w="2791" w:type="dxa"/>
            <w:tcBorders>
              <w:top w:val="nil"/>
              <w:left w:val="nil"/>
              <w:bottom w:val="nil"/>
              <w:right w:val="single" w:sz="8" w:space="0" w:color="000000"/>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10,715,070.0 </w:t>
            </w:r>
          </w:p>
        </w:tc>
      </w:tr>
      <w:tr w:rsidR="008047A3" w:rsidRPr="00FA1984" w:rsidTr="008047A3">
        <w:trPr>
          <w:trHeight w:val="298"/>
        </w:trPr>
        <w:tc>
          <w:tcPr>
            <w:tcW w:w="10108" w:type="dxa"/>
            <w:tcBorders>
              <w:top w:val="nil"/>
              <w:left w:val="nil"/>
              <w:bottom w:val="nil"/>
              <w:right w:val="single" w:sz="8" w:space="0" w:color="000000"/>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000000"/>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trHeight w:val="612"/>
        </w:trPr>
        <w:tc>
          <w:tcPr>
            <w:tcW w:w="10108" w:type="dxa"/>
            <w:tcBorders>
              <w:top w:val="nil"/>
              <w:left w:val="nil"/>
              <w:bottom w:val="single" w:sz="8" w:space="0" w:color="000000"/>
              <w:right w:val="single" w:sz="8" w:space="0" w:color="000000"/>
            </w:tcBorders>
            <w:shd w:val="clear" w:color="000000" w:fill="F2F2F2"/>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Balance Presupuestario de Recursos Disponibles sin Financiamiento Neto (VI = V – A3.1)</w:t>
            </w:r>
          </w:p>
        </w:tc>
        <w:tc>
          <w:tcPr>
            <w:tcW w:w="2791" w:type="dxa"/>
            <w:tcBorders>
              <w:top w:val="nil"/>
              <w:left w:val="nil"/>
              <w:bottom w:val="single" w:sz="8" w:space="0" w:color="000000"/>
              <w:right w:val="single" w:sz="8" w:space="0" w:color="000000"/>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r>
      <w:tr w:rsidR="008047A3" w:rsidRPr="00FA1984" w:rsidTr="008047A3">
        <w:trPr>
          <w:trHeight w:val="298"/>
        </w:trPr>
        <w:tc>
          <w:tcPr>
            <w:tcW w:w="10108"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3"/>
        </w:trPr>
        <w:tc>
          <w:tcPr>
            <w:tcW w:w="101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791"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597"/>
        </w:trPr>
        <w:tc>
          <w:tcPr>
            <w:tcW w:w="10108" w:type="dxa"/>
            <w:tcBorders>
              <w:top w:val="single" w:sz="8" w:space="0" w:color="auto"/>
              <w:left w:val="single" w:sz="8" w:space="0" w:color="auto"/>
              <w:bottom w:val="nil"/>
              <w:right w:val="single" w:sz="8" w:space="0" w:color="auto"/>
            </w:tcBorders>
            <w:shd w:val="clear" w:color="000000" w:fill="16365C"/>
            <w:vAlign w:val="center"/>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Concepto</w:t>
            </w:r>
          </w:p>
        </w:tc>
        <w:tc>
          <w:tcPr>
            <w:tcW w:w="2791" w:type="dxa"/>
            <w:tcBorders>
              <w:top w:val="single" w:sz="8" w:space="0" w:color="auto"/>
              <w:left w:val="nil"/>
              <w:bottom w:val="nil"/>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Estimado/ Aprobado </w:t>
            </w:r>
          </w:p>
        </w:tc>
      </w:tr>
      <w:tr w:rsidR="008047A3" w:rsidRPr="00FA1984" w:rsidTr="008047A3">
        <w:trPr>
          <w:trHeight w:val="343"/>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sz w:val="25"/>
                <w:szCs w:val="25"/>
                <w:lang w:eastAsia="es-MX"/>
              </w:rPr>
            </w:pPr>
            <w:r w:rsidRPr="00FA1984">
              <w:rPr>
                <w:rFonts w:ascii="Barlow" w:eastAsia="Times New Roman" w:hAnsi="Barlow" w:cs="Calibri"/>
                <w:color w:val="000000"/>
                <w:sz w:val="25"/>
                <w:szCs w:val="25"/>
                <w:lang w:eastAsia="es-MX"/>
              </w:rPr>
              <w:t> </w:t>
            </w:r>
          </w:p>
        </w:tc>
      </w:tr>
      <w:tr w:rsidR="008047A3" w:rsidRPr="00FA1984" w:rsidTr="008047A3">
        <w:trPr>
          <w:trHeight w:val="29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A2. Transferencias Federales Etiquetadas</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18,441,656,992.0 </w:t>
            </w:r>
          </w:p>
        </w:tc>
      </w:tr>
      <w:tr w:rsidR="008047A3" w:rsidRPr="00FA1984" w:rsidTr="008047A3">
        <w:trPr>
          <w:trHeight w:val="313"/>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597"/>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A3.2 Financiamiento Neto con Fuente de Pago de Transferencias Federales Etiquetadas (A3.2 = F2 – G2)</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109,468,319.0 </w:t>
            </w:r>
          </w:p>
        </w:tc>
      </w:tr>
      <w:tr w:rsidR="008047A3" w:rsidRPr="00FA1984" w:rsidTr="008047A3">
        <w:trPr>
          <w:trHeight w:val="597"/>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800" w:firstLine="1920"/>
              <w:rPr>
                <w:rFonts w:ascii="Barlow" w:eastAsia="Times New Roman" w:hAnsi="Barlow" w:cs="Calibri"/>
                <w:color w:val="000000"/>
                <w:lang w:eastAsia="es-MX"/>
              </w:rPr>
            </w:pPr>
            <w:r w:rsidRPr="00FA1984">
              <w:rPr>
                <w:rFonts w:ascii="Barlow" w:eastAsia="Times New Roman" w:hAnsi="Barlow" w:cs="Calibri"/>
                <w:color w:val="000000"/>
                <w:lang w:eastAsia="es-MX"/>
              </w:rPr>
              <w:t>F2. Financiamiento con Fuente de Pago de Transferencias Federales Etiquetadas</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29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G2. Amortización de la Deuda Pública con Gasto Etiquetado</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109,468,319.0 </w:t>
            </w:r>
          </w:p>
        </w:tc>
      </w:tr>
      <w:tr w:rsidR="008047A3" w:rsidRPr="00FA1984" w:rsidTr="008047A3">
        <w:trPr>
          <w:trHeight w:val="29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9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B2. Gasto Etiquetado (sin incluir Amortización de la Deuda Pública)</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18,332,188,673.0 </w:t>
            </w:r>
          </w:p>
        </w:tc>
      </w:tr>
      <w:tr w:rsidR="008047A3" w:rsidRPr="00FA1984" w:rsidTr="008047A3">
        <w:trPr>
          <w:trHeight w:val="35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sz w:val="27"/>
                <w:szCs w:val="27"/>
                <w:lang w:eastAsia="es-MX"/>
              </w:rPr>
            </w:pPr>
            <w:r w:rsidRPr="00FA1984">
              <w:rPr>
                <w:rFonts w:ascii="Barlow" w:eastAsia="Times New Roman" w:hAnsi="Barlow" w:cs="Calibri"/>
                <w:color w:val="000000"/>
                <w:sz w:val="27"/>
                <w:szCs w:val="27"/>
                <w:lang w:eastAsia="es-MX"/>
              </w:rPr>
              <w:t> </w:t>
            </w:r>
          </w:p>
        </w:tc>
      </w:tr>
      <w:tr w:rsidR="008047A3" w:rsidRPr="00FA1984" w:rsidTr="008047A3">
        <w:trPr>
          <w:trHeight w:val="597"/>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C2. Remanentes de Transferencias Federales Etiquetadas aplicados en el periodo</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358"/>
        </w:trPr>
        <w:tc>
          <w:tcPr>
            <w:tcW w:w="10108"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sz w:val="27"/>
                <w:szCs w:val="27"/>
                <w:lang w:eastAsia="es-MX"/>
              </w:rPr>
            </w:pPr>
            <w:r w:rsidRPr="00FA1984">
              <w:rPr>
                <w:rFonts w:ascii="Barlow" w:eastAsia="Times New Roman" w:hAnsi="Barlow" w:cs="Calibri"/>
                <w:color w:val="000000"/>
                <w:sz w:val="27"/>
                <w:szCs w:val="27"/>
                <w:lang w:eastAsia="es-MX"/>
              </w:rPr>
              <w:t> </w:t>
            </w:r>
          </w:p>
        </w:tc>
        <w:tc>
          <w:tcPr>
            <w:tcW w:w="2791"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597"/>
        </w:trPr>
        <w:tc>
          <w:tcPr>
            <w:tcW w:w="10108" w:type="dxa"/>
            <w:tcBorders>
              <w:top w:val="nil"/>
              <w:left w:val="single" w:sz="8" w:space="0" w:color="auto"/>
              <w:bottom w:val="nil"/>
              <w:right w:val="single" w:sz="8" w:space="0" w:color="auto"/>
            </w:tcBorders>
            <w:shd w:val="clear" w:color="000000" w:fill="F2F2F2"/>
            <w:vAlign w:val="center"/>
            <w:hideMark/>
          </w:tcPr>
          <w:p w:rsidR="008047A3" w:rsidRPr="00FA1984" w:rsidRDefault="008047A3" w:rsidP="008047A3">
            <w:pPr>
              <w:ind w:firstLineChars="200" w:firstLine="482"/>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VII. Balance Presupuestario de Recursos Etiquetados (VII = A2 + A3.2 – B2 + C2)</w:t>
            </w:r>
          </w:p>
        </w:tc>
        <w:tc>
          <w:tcPr>
            <w:tcW w:w="2791" w:type="dxa"/>
            <w:tcBorders>
              <w:top w:val="nil"/>
              <w:left w:val="nil"/>
              <w:bottom w:val="nil"/>
              <w:right w:val="single" w:sz="8" w:space="0" w:color="auto"/>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r>
      <w:tr w:rsidR="008047A3" w:rsidRPr="00FA1984" w:rsidTr="008047A3">
        <w:trPr>
          <w:trHeight w:val="612"/>
        </w:trPr>
        <w:tc>
          <w:tcPr>
            <w:tcW w:w="10108" w:type="dxa"/>
            <w:tcBorders>
              <w:top w:val="nil"/>
              <w:left w:val="nil"/>
              <w:bottom w:val="single" w:sz="8" w:space="0" w:color="auto"/>
              <w:right w:val="nil"/>
            </w:tcBorders>
            <w:shd w:val="clear" w:color="000000" w:fill="F2F2F2"/>
            <w:vAlign w:val="center"/>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VIII. Balance Presupuestario de Recursos Etiquetados sin Financiamiento Neto(VIII = VII – A3.2)</w:t>
            </w:r>
          </w:p>
        </w:tc>
        <w:tc>
          <w:tcPr>
            <w:tcW w:w="2791" w:type="dxa"/>
            <w:tcBorders>
              <w:top w:val="nil"/>
              <w:left w:val="single" w:sz="8" w:space="0" w:color="auto"/>
              <w:bottom w:val="single" w:sz="8" w:space="0" w:color="auto"/>
              <w:right w:val="single" w:sz="8" w:space="0" w:color="auto"/>
            </w:tcBorders>
            <w:shd w:val="clear" w:color="000000" w:fill="F2F2F2"/>
            <w:noWrap/>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109,468,319.0 </w:t>
            </w:r>
          </w:p>
        </w:tc>
      </w:tr>
    </w:tbl>
    <w:p w:rsidR="008047A3" w:rsidRPr="00FA1984" w:rsidRDefault="008047A3" w:rsidP="008047A3">
      <w:pPr>
        <w:rPr>
          <w:rFonts w:ascii="Barlow" w:hAnsi="Barlow"/>
        </w:rPr>
      </w:pPr>
    </w:p>
    <w:p w:rsidR="008047A3" w:rsidRPr="00FA1984" w:rsidRDefault="008047A3" w:rsidP="008047A3">
      <w:pPr>
        <w:rPr>
          <w:rFonts w:ascii="Barlow" w:hAnsi="Barlow"/>
        </w:rPr>
      </w:pPr>
    </w:p>
    <w:tbl>
      <w:tblPr>
        <w:tblW w:w="15112" w:type="dxa"/>
        <w:tblInd w:w="-851" w:type="dxa"/>
        <w:tblLayout w:type="fixed"/>
        <w:tblCellMar>
          <w:left w:w="70" w:type="dxa"/>
          <w:right w:w="70" w:type="dxa"/>
        </w:tblCellMar>
        <w:tblLook w:val="04A0"/>
      </w:tblPr>
      <w:tblGrid>
        <w:gridCol w:w="1227"/>
        <w:gridCol w:w="160"/>
        <w:gridCol w:w="2832"/>
        <w:gridCol w:w="566"/>
        <w:gridCol w:w="319"/>
        <w:gridCol w:w="2551"/>
        <w:gridCol w:w="1985"/>
        <w:gridCol w:w="1074"/>
        <w:gridCol w:w="160"/>
        <w:gridCol w:w="160"/>
        <w:gridCol w:w="307"/>
        <w:gridCol w:w="16"/>
        <w:gridCol w:w="1260"/>
        <w:gridCol w:w="160"/>
        <w:gridCol w:w="265"/>
        <w:gridCol w:w="490"/>
        <w:gridCol w:w="160"/>
        <w:gridCol w:w="1193"/>
        <w:gridCol w:w="67"/>
        <w:gridCol w:w="160"/>
      </w:tblGrid>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val="restart"/>
            <w:tcBorders>
              <w:top w:val="nil"/>
              <w:left w:val="nil"/>
              <w:bottom w:val="nil"/>
              <w:right w:val="nil"/>
            </w:tcBorders>
            <w:shd w:val="clear" w:color="auto" w:fill="auto"/>
            <w:hideMark/>
          </w:tcPr>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Default="008047A3"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Default="00ED3E20" w:rsidP="008047A3">
            <w:pPr>
              <w:jc w:val="center"/>
              <w:rPr>
                <w:rFonts w:ascii="Barlow" w:eastAsia="Times New Roman" w:hAnsi="Barlow" w:cs="Calibri"/>
                <w:b/>
                <w:bCs/>
                <w:color w:val="000000"/>
                <w:lang w:eastAsia="es-MX"/>
              </w:rPr>
            </w:pPr>
          </w:p>
          <w:p w:rsidR="00ED3E20" w:rsidRPr="0023082B" w:rsidRDefault="00ED3E20" w:rsidP="008047A3">
            <w:pPr>
              <w:jc w:val="center"/>
              <w:rPr>
                <w:rFonts w:ascii="Barlow" w:eastAsia="Times New Roman" w:hAnsi="Barlow" w:cs="Calibri"/>
                <w:b/>
                <w:bCs/>
                <w:color w:val="000000"/>
                <w:lang w:eastAsia="es-MX"/>
              </w:rPr>
            </w:pPr>
            <w:r>
              <w:rPr>
                <w:rFonts w:ascii="Barlow" w:eastAsia="Times New Roman" w:hAnsi="Barlow" w:cs="Calibri"/>
                <w:b/>
                <w:bCs/>
                <w:color w:val="000000"/>
                <w:lang w:eastAsia="es-MX"/>
              </w:rPr>
              <w:t>Anexo 18 F</w:t>
            </w: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 xml:space="preserve">Estado Analítico del Ejercicio del Presupuesto de Egresos </w:t>
            </w:r>
            <w:r w:rsidRPr="0023082B">
              <w:rPr>
                <w:rFonts w:ascii="Barlow" w:eastAsia="Times New Roman" w:hAnsi="Barlow" w:cs="Calibri"/>
                <w:b/>
                <w:bCs/>
                <w:color w:val="000000"/>
                <w:lang w:eastAsia="es-MX"/>
              </w:rPr>
              <w:br/>
            </w:r>
            <w:r w:rsidRPr="0023082B">
              <w:rPr>
                <w:rFonts w:ascii="Barlow" w:eastAsia="Times New Roman" w:hAnsi="Barlow" w:cs="Calibri"/>
                <w:b/>
                <w:bCs/>
                <w:color w:val="000000"/>
                <w:lang w:eastAsia="es-MX"/>
              </w:rPr>
              <w:br/>
              <w:t>Clasificación Administrativa</w:t>
            </w:r>
          </w:p>
        </w:tc>
      </w:tr>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jc w:val="center"/>
              <w:rPr>
                <w:rFonts w:ascii="Barlow" w:eastAsia="Times New Roman" w:hAnsi="Barlow" w:cs="Calibri"/>
                <w:b/>
                <w:bCs/>
                <w:color w:val="00000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120"/>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25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trHeight w:val="390"/>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75"/>
        </w:trPr>
        <w:tc>
          <w:tcPr>
            <w:tcW w:w="10714" w:type="dxa"/>
            <w:gridSpan w:val="8"/>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b/>
                <w:bCs/>
                <w:color w:val="000000"/>
                <w:lang w:eastAsia="es-MX"/>
              </w:rPr>
            </w:pPr>
            <w:r>
              <w:rPr>
                <w:rFonts w:ascii="Barlow" w:eastAsia="Times New Roman" w:hAnsi="Barlow" w:cs="Calibri"/>
                <w:b/>
                <w:bCs/>
                <w:color w:val="000000"/>
                <w:lang w:eastAsia="es-MX"/>
              </w:rPr>
              <w:t xml:space="preserve">                             </w:t>
            </w:r>
            <w:r w:rsidRPr="0023082B">
              <w:rPr>
                <w:rFonts w:ascii="Barlow" w:eastAsia="Times New Roman" w:hAnsi="Barlow" w:cs="Calibri"/>
                <w:b/>
                <w:bCs/>
                <w:color w:val="000000"/>
                <w:lang w:eastAsia="es-MX"/>
              </w:rPr>
              <w:t>RAMO</w:t>
            </w:r>
          </w:p>
        </w:tc>
        <w:tc>
          <w:tcPr>
            <w:tcW w:w="160" w:type="dxa"/>
            <w:tcBorders>
              <w:top w:val="nil"/>
              <w:left w:val="nil"/>
              <w:bottom w:val="nil"/>
              <w:right w:val="nil"/>
            </w:tcBorders>
            <w:shd w:val="clear" w:color="auto" w:fill="auto"/>
            <w:noWrap/>
            <w:hideMark/>
          </w:tcPr>
          <w:p w:rsidR="008047A3" w:rsidRPr="0023082B" w:rsidRDefault="008047A3" w:rsidP="008047A3">
            <w:pPr>
              <w:jc w:val="center"/>
              <w:rPr>
                <w:rFonts w:ascii="Barlow" w:eastAsia="Times New Roman" w:hAnsi="Barlow" w:cs="Calibri"/>
                <w:b/>
                <w:bCs/>
                <w:color w:val="000000"/>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3918" w:type="dxa"/>
            <w:gridSpan w:val="9"/>
            <w:tcBorders>
              <w:top w:val="nil"/>
              <w:left w:val="nil"/>
              <w:bottom w:val="nil"/>
              <w:right w:val="nil"/>
            </w:tcBorders>
            <w:shd w:val="clear" w:color="auto" w:fill="auto"/>
            <w:noWrap/>
            <w:hideMark/>
          </w:tcPr>
          <w:p w:rsidR="008047A3" w:rsidRPr="0023082B" w:rsidRDefault="008047A3" w:rsidP="008047A3">
            <w:pPr>
              <w:tabs>
                <w:tab w:val="left" w:pos="1428"/>
              </w:tabs>
              <w:rPr>
                <w:rFonts w:ascii="Barlow" w:eastAsia="Times New Roman" w:hAnsi="Barlow" w:cs="Times New Roman"/>
                <w:lang w:eastAsia="es-MX"/>
              </w:rPr>
            </w:pPr>
            <w:r>
              <w:rPr>
                <w:rFonts w:ascii="Barlow" w:eastAsia="Times New Roman" w:hAnsi="Barlow" w:cs="Times New Roman"/>
                <w:lang w:eastAsia="es-MX"/>
              </w:rPr>
              <w:tab/>
            </w:r>
          </w:p>
          <w:p w:rsidR="008047A3" w:rsidRPr="0023082B" w:rsidRDefault="008047A3" w:rsidP="008047A3">
            <w:pPr>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IMPORTE</w:t>
            </w:r>
          </w:p>
        </w:tc>
        <w:tc>
          <w:tcPr>
            <w:tcW w:w="160" w:type="dxa"/>
            <w:tcBorders>
              <w:top w:val="nil"/>
              <w:left w:val="nil"/>
              <w:bottom w:val="nil"/>
              <w:right w:val="nil"/>
            </w:tcBorders>
            <w:shd w:val="clear" w:color="auto" w:fill="auto"/>
            <w:noWrap/>
            <w:hideMark/>
          </w:tcPr>
          <w:p w:rsidR="008047A3" w:rsidRPr="00FA1984" w:rsidRDefault="008047A3" w:rsidP="008047A3">
            <w:pPr>
              <w:jc w:val="center"/>
              <w:rPr>
                <w:rFonts w:ascii="Barlow" w:eastAsia="Times New Roman" w:hAnsi="Barlow" w:cs="Calibri"/>
                <w:b/>
                <w:bCs/>
                <w:color w:val="000000"/>
                <w:sz w:val="20"/>
                <w:szCs w:val="20"/>
                <w:lang w:eastAsia="es-MX"/>
              </w:rPr>
            </w:pP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285"/>
        </w:trPr>
        <w:tc>
          <w:tcPr>
            <w:tcW w:w="11357" w:type="dxa"/>
            <w:gridSpan w:val="12"/>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I. Gasto No Etiquetado</w:t>
            </w:r>
          </w:p>
        </w:tc>
        <w:tc>
          <w:tcPr>
            <w:tcW w:w="1685" w:type="dxa"/>
            <w:gridSpan w:val="3"/>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22,148,351,672</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b/>
                <w:bCs/>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PODER LEGISLATIVO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209,230,167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PODER JUDICIAL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525,121,077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DESPACHO DEL GOBERNADOR</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31,603,112</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GENERAL DE GOBIERNO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524,328,818</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OBRAS PÚBLICAS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1,171,992,390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SEGURIDAD PÚBLICA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2,264,783,000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EDUCACIÓN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3,528,185,789</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FISCALÍA GENERAL DEL ESTADO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442,106,695</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RURAL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282,220,438</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FOMENTO ECONÓMICO Y TRABAJO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587,164,001</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FOMENTO TURÍSTICO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493,194,911</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SUSTENTABLE</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466,533,503</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LA CONTRALORÍA GENERAL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90,285,285</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SOCIAL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581,895,768</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SALUD</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1,919,651,853</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JUBILACIONES Y PENSIONES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641,182,171</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TRIBUNAL ELECTORAL DEL ESTADO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31,695,287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INSTITUTO ELECTORAL Y DE PARTICIPACION CIUDADANA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184,596,745</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PARTICIPACIONES,  APORTACIONES  Y TRANSFERENCIAS A MUNICIPIOS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3,611,849,987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COMISIÓN DE LOS DERECHOS HUMANOS DEL ESTADO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35,765,743</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25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vMerge w:val="restart"/>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INSTITUTO ESTATAL DE TRANSPARENCIA, ACCESO A LA INFORMACIÓN PÚBLICA Y PROTECCIÓN DE DATOS PERSONALES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30,708,917</w:t>
            </w:r>
          </w:p>
        </w:tc>
      </w:tr>
      <w:tr w:rsidR="008047A3" w:rsidRPr="00FA1984" w:rsidTr="008047A3">
        <w:trPr>
          <w:trHeight w:val="25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9807" w:type="dxa"/>
            <w:gridSpan w:val="9"/>
            <w:vMerge/>
            <w:tcBorders>
              <w:top w:val="nil"/>
              <w:left w:val="nil"/>
              <w:bottom w:val="nil"/>
              <w:right w:val="nil"/>
            </w:tcBorders>
            <w:vAlign w:val="center"/>
            <w:hideMark/>
          </w:tcPr>
          <w:p w:rsidR="008047A3" w:rsidRPr="0023082B" w:rsidRDefault="008047A3" w:rsidP="008047A3">
            <w:pPr>
              <w:rPr>
                <w:rFonts w:ascii="Barlow" w:eastAsia="Times New Roman" w:hAnsi="Barlow" w:cs="Calibri"/>
                <w:color w:val="000000"/>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DEUDA PÚBLICA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119,725,996</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CONSEJERÍA JURÍDICA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189,796,820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UNIVERSIDAD AUTÓNOMA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479,333,796</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LA CULTURA Y LAS ARTES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489,700,807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ADMINISTRACIÓN Y FINANZAS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2,657,323,326</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SECRETARIA DE INVESTIGACIÓN, INNOVACIÓN Y EDUCACIÓN SUPERIOR</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332,484,840</w:t>
            </w:r>
          </w:p>
        </w:tc>
      </w:tr>
      <w:tr w:rsidR="008047A3" w:rsidRPr="00FA1984" w:rsidTr="008047A3">
        <w:trPr>
          <w:trHeight w:val="300"/>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val="restart"/>
            <w:tcBorders>
              <w:top w:val="nil"/>
              <w:left w:val="nil"/>
              <w:bottom w:val="nil"/>
              <w:right w:val="nil"/>
            </w:tcBorders>
            <w:shd w:val="clear" w:color="auto" w:fill="auto"/>
            <w:hideMark/>
          </w:tcPr>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p>
          <w:p w:rsidR="008047A3" w:rsidRPr="0023082B" w:rsidRDefault="008047A3" w:rsidP="008047A3">
            <w:pPr>
              <w:jc w:val="center"/>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 xml:space="preserve">Estado Analítico del Ejercicio del Presupuesto de Egresos </w:t>
            </w:r>
            <w:r w:rsidRPr="0023082B">
              <w:rPr>
                <w:rFonts w:ascii="Barlow" w:eastAsia="Times New Roman" w:hAnsi="Barlow" w:cs="Calibri"/>
                <w:b/>
                <w:bCs/>
                <w:color w:val="000000"/>
                <w:lang w:eastAsia="es-MX"/>
              </w:rPr>
              <w:br/>
            </w:r>
            <w:r w:rsidRPr="0023082B">
              <w:rPr>
                <w:rFonts w:ascii="Barlow" w:eastAsia="Times New Roman" w:hAnsi="Barlow" w:cs="Calibri"/>
                <w:b/>
                <w:bCs/>
                <w:color w:val="000000"/>
                <w:lang w:eastAsia="es-MX"/>
              </w:rPr>
              <w:br/>
              <w:t>Clasificación Administrativa</w:t>
            </w:r>
          </w:p>
        </w:tc>
      </w:tr>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jc w:val="center"/>
              <w:rPr>
                <w:rFonts w:ascii="Barlow" w:eastAsia="Times New Roman" w:hAnsi="Barlow" w:cs="Calibri"/>
                <w:b/>
                <w:bCs/>
                <w:color w:val="00000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31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120"/>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gridAfter w:val="5"/>
          <w:wAfter w:w="2070" w:type="dxa"/>
          <w:trHeight w:val="25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8257" w:type="dxa"/>
            <w:gridSpan w:val="11"/>
            <w:vMerge/>
            <w:tcBorders>
              <w:top w:val="nil"/>
              <w:left w:val="nil"/>
              <w:bottom w:val="nil"/>
              <w:right w:val="nil"/>
            </w:tcBorders>
            <w:vAlign w:val="center"/>
            <w:hideMark/>
          </w:tcPr>
          <w:p w:rsidR="008047A3" w:rsidRPr="0023082B" w:rsidRDefault="008047A3" w:rsidP="008047A3">
            <w:pPr>
              <w:rPr>
                <w:rFonts w:ascii="Barlow" w:eastAsia="Times New Roman" w:hAnsi="Barlow" w:cs="Calibri"/>
                <w:b/>
                <w:bCs/>
                <w:color w:val="000000"/>
                <w:lang w:eastAsia="es-MX"/>
              </w:rPr>
            </w:pPr>
          </w:p>
        </w:tc>
      </w:tr>
      <w:tr w:rsidR="008047A3" w:rsidRPr="00FA1984" w:rsidTr="008047A3">
        <w:trPr>
          <w:trHeight w:val="390"/>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TRIBUNAL DE JUSTICIA  ADMINISTRATIVA DEL ESTADO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31,762,274</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EJECUTIVA DEL SISTEMA ESTATAL ANTICORRUPCIÓN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19,582,640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LAS MUJERES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60,085,609</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PESCA Y ACUACULTURA SUSTENTABLES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114,459,907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285"/>
        </w:trPr>
        <w:tc>
          <w:tcPr>
            <w:tcW w:w="11357" w:type="dxa"/>
            <w:gridSpan w:val="12"/>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II. Gasto Etiquetado</w:t>
            </w:r>
          </w:p>
        </w:tc>
        <w:tc>
          <w:tcPr>
            <w:tcW w:w="1685" w:type="dxa"/>
            <w:gridSpan w:val="3"/>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18,441,656,992</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b/>
                <w:bCs/>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OBRAS PÚBLICAS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588,193,137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SEGURIDAD PÚBLICA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311,195,206</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EDUCACIÓN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7,535,145,626</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FISCALÍA GENERAL DEL ESTADO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2,928,194</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RURAL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204,498,804</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FOMENTO ECONÓMICO Y TRABAJO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39,786,000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FOMENTO TURÍSTICO</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10,500,000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SUSTENTABLE</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105,497,037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DESARROLLO SOCIAL</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299,333,210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SALUD</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3,398,927,889</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PARTICIPACIONES,  APORTACIONES  Y TRANSFERENCIAS A MUNICIPIOS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3,055,779,000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DEUDA PÚBLICA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430,583,264</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CONSEJERÍA JURÍDICA</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4,295,500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UNIVERSIDAD AUTÓNOMA DE YUCATÁN</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1,976,429,458</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LA CULTURA Y LAS ARTES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20,887,400</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SECRETARIA DE INVESTIGACIÓN, INNOVACIÓN Y EDUCACIÓN SUPERIOR</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439,964,037</w:t>
            </w:r>
          </w:p>
        </w:tc>
      </w:tr>
      <w:tr w:rsidR="008047A3" w:rsidRPr="00FA1984" w:rsidTr="008047A3">
        <w:trPr>
          <w:trHeight w:val="13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gridAfter w:val="5"/>
          <w:wAfter w:w="2070" w:type="dxa"/>
          <w:trHeight w:val="345"/>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9807" w:type="dxa"/>
            <w:gridSpan w:val="9"/>
            <w:tcBorders>
              <w:top w:val="nil"/>
              <w:left w:val="nil"/>
              <w:bottom w:val="nil"/>
              <w:right w:val="nil"/>
            </w:tcBorders>
            <w:shd w:val="clear" w:color="auto" w:fill="auto"/>
            <w:hideMark/>
          </w:tcPr>
          <w:p w:rsidR="008047A3" w:rsidRPr="0023082B" w:rsidRDefault="008047A3" w:rsidP="008047A3">
            <w:pPr>
              <w:rPr>
                <w:rFonts w:ascii="Barlow" w:eastAsia="Times New Roman" w:hAnsi="Barlow" w:cs="Calibri"/>
                <w:color w:val="000000"/>
                <w:lang w:eastAsia="es-MX"/>
              </w:rPr>
            </w:pPr>
            <w:r w:rsidRPr="0023082B">
              <w:rPr>
                <w:rFonts w:ascii="Barlow" w:eastAsia="Times New Roman" w:hAnsi="Barlow" w:cs="Calibri"/>
                <w:color w:val="000000"/>
                <w:lang w:eastAsia="es-MX"/>
              </w:rPr>
              <w:t>SECRETARÍA DE LAS MUJERES</w:t>
            </w:r>
          </w:p>
        </w:tc>
        <w:tc>
          <w:tcPr>
            <w:tcW w:w="2008" w:type="dxa"/>
            <w:gridSpan w:val="5"/>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color w:val="000000"/>
                <w:lang w:eastAsia="es-MX"/>
              </w:rPr>
            </w:pPr>
            <w:r w:rsidRPr="0023082B">
              <w:rPr>
                <w:rFonts w:ascii="Barlow" w:eastAsia="Times New Roman" w:hAnsi="Barlow" w:cs="Calibri"/>
                <w:color w:val="000000"/>
                <w:lang w:eastAsia="es-MX"/>
              </w:rPr>
              <w:t>17,713,230</w:t>
            </w:r>
          </w:p>
        </w:tc>
      </w:tr>
      <w:tr w:rsidR="008047A3" w:rsidRPr="00FA1984" w:rsidTr="008047A3">
        <w:trPr>
          <w:trHeight w:val="255"/>
        </w:trPr>
        <w:tc>
          <w:tcPr>
            <w:tcW w:w="1227" w:type="dxa"/>
            <w:tcBorders>
              <w:top w:val="nil"/>
              <w:left w:val="nil"/>
              <w:bottom w:val="nil"/>
              <w:right w:val="nil"/>
            </w:tcBorders>
            <w:shd w:val="clear" w:color="auto" w:fill="auto"/>
            <w:noWrap/>
            <w:hideMark/>
          </w:tcPr>
          <w:p w:rsidR="008047A3" w:rsidRPr="00FA1984" w:rsidRDefault="008047A3" w:rsidP="008047A3">
            <w:pPr>
              <w:jc w:val="right"/>
              <w:rPr>
                <w:rFonts w:ascii="Barlow" w:eastAsia="Times New Roman" w:hAnsi="Barlow" w:cs="Calibri"/>
                <w:color w:val="000000"/>
                <w:sz w:val="18"/>
                <w:szCs w:val="18"/>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583" w:type="dxa"/>
            <w:gridSpan w:val="3"/>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175" w:type="dxa"/>
            <w:gridSpan w:val="5"/>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r>
      <w:tr w:rsidR="008047A3" w:rsidRPr="0023082B" w:rsidTr="008047A3">
        <w:trPr>
          <w:gridAfter w:val="3"/>
          <w:wAfter w:w="1420" w:type="dxa"/>
          <w:trHeight w:val="300"/>
        </w:trPr>
        <w:tc>
          <w:tcPr>
            <w:tcW w:w="1227"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160"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2832"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6"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319" w:type="dxa"/>
            <w:tcBorders>
              <w:top w:val="nil"/>
              <w:left w:val="nil"/>
              <w:bottom w:val="nil"/>
              <w:right w:val="nil"/>
            </w:tcBorders>
            <w:shd w:val="clear" w:color="auto" w:fill="auto"/>
            <w:noWrap/>
            <w:hideMark/>
          </w:tcPr>
          <w:p w:rsidR="008047A3" w:rsidRPr="00FA1984" w:rsidRDefault="008047A3" w:rsidP="008047A3">
            <w:pPr>
              <w:rPr>
                <w:rFonts w:ascii="Barlow" w:eastAsia="Times New Roman" w:hAnsi="Barlow" w:cs="Times New Roman"/>
                <w:sz w:val="20"/>
                <w:szCs w:val="20"/>
                <w:lang w:eastAsia="es-MX"/>
              </w:rPr>
            </w:pPr>
          </w:p>
        </w:tc>
        <w:tc>
          <w:tcPr>
            <w:tcW w:w="5610" w:type="dxa"/>
            <w:gridSpan w:val="3"/>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Total del presupuesto</w:t>
            </w:r>
          </w:p>
        </w:tc>
        <w:tc>
          <w:tcPr>
            <w:tcW w:w="160" w:type="dxa"/>
            <w:tcBorders>
              <w:top w:val="nil"/>
              <w:left w:val="nil"/>
              <w:bottom w:val="nil"/>
              <w:right w:val="nil"/>
            </w:tcBorders>
            <w:shd w:val="clear" w:color="auto" w:fill="auto"/>
            <w:noWrap/>
            <w:hideMark/>
          </w:tcPr>
          <w:p w:rsidR="008047A3" w:rsidRPr="0023082B" w:rsidRDefault="008047A3" w:rsidP="008047A3">
            <w:pPr>
              <w:jc w:val="right"/>
              <w:rPr>
                <w:rFonts w:ascii="Barlow" w:eastAsia="Times New Roman" w:hAnsi="Barlow" w:cs="Calibri"/>
                <w:b/>
                <w:bCs/>
                <w:color w:val="000000"/>
                <w:lang w:eastAsia="es-MX"/>
              </w:rPr>
            </w:pPr>
          </w:p>
        </w:tc>
        <w:tc>
          <w:tcPr>
            <w:tcW w:w="160" w:type="dxa"/>
            <w:tcBorders>
              <w:top w:val="nil"/>
              <w:left w:val="nil"/>
              <w:bottom w:val="nil"/>
              <w:right w:val="nil"/>
            </w:tcBorders>
            <w:shd w:val="clear" w:color="auto" w:fill="auto"/>
            <w:noWrap/>
            <w:hideMark/>
          </w:tcPr>
          <w:p w:rsidR="008047A3" w:rsidRPr="0023082B" w:rsidRDefault="008047A3" w:rsidP="008047A3">
            <w:pPr>
              <w:rPr>
                <w:rFonts w:ascii="Barlow" w:eastAsia="Times New Roman" w:hAnsi="Barlow" w:cs="Times New Roman"/>
                <w:lang w:eastAsia="es-MX"/>
              </w:rPr>
            </w:pPr>
          </w:p>
        </w:tc>
        <w:tc>
          <w:tcPr>
            <w:tcW w:w="2498" w:type="dxa"/>
            <w:gridSpan w:val="6"/>
            <w:tcBorders>
              <w:top w:val="nil"/>
              <w:left w:val="nil"/>
              <w:bottom w:val="nil"/>
              <w:right w:val="nil"/>
            </w:tcBorders>
            <w:shd w:val="clear" w:color="auto" w:fill="auto"/>
            <w:hideMark/>
          </w:tcPr>
          <w:p w:rsidR="008047A3" w:rsidRPr="0023082B" w:rsidRDefault="008047A3" w:rsidP="008047A3">
            <w:pPr>
              <w:jc w:val="right"/>
              <w:rPr>
                <w:rFonts w:ascii="Barlow" w:eastAsia="Times New Roman" w:hAnsi="Barlow" w:cs="Calibri"/>
                <w:b/>
                <w:bCs/>
                <w:color w:val="000000"/>
                <w:lang w:eastAsia="es-MX"/>
              </w:rPr>
            </w:pPr>
            <w:r w:rsidRPr="0023082B">
              <w:rPr>
                <w:rFonts w:ascii="Barlow" w:eastAsia="Times New Roman" w:hAnsi="Barlow" w:cs="Calibri"/>
                <w:b/>
                <w:bCs/>
                <w:color w:val="000000"/>
                <w:lang w:eastAsia="es-MX"/>
              </w:rPr>
              <w:t>40,590,008,664</w:t>
            </w:r>
          </w:p>
        </w:tc>
        <w:tc>
          <w:tcPr>
            <w:tcW w:w="160" w:type="dxa"/>
            <w:tcBorders>
              <w:top w:val="nil"/>
              <w:left w:val="nil"/>
              <w:bottom w:val="nil"/>
              <w:right w:val="nil"/>
            </w:tcBorders>
            <w:shd w:val="clear" w:color="auto" w:fill="auto"/>
            <w:noWrap/>
            <w:hideMark/>
          </w:tcPr>
          <w:p w:rsidR="008047A3" w:rsidRPr="0023082B" w:rsidRDefault="008047A3" w:rsidP="008047A3">
            <w:pPr>
              <w:jc w:val="right"/>
              <w:rPr>
                <w:rFonts w:ascii="Barlow" w:eastAsia="Times New Roman" w:hAnsi="Barlow" w:cs="Calibri"/>
                <w:b/>
                <w:bCs/>
                <w:color w:val="000000"/>
                <w:lang w:eastAsia="es-MX"/>
              </w:rPr>
            </w:pPr>
          </w:p>
        </w:tc>
      </w:tr>
      <w:tr w:rsidR="008047A3" w:rsidRPr="00FA1984" w:rsidTr="008047A3">
        <w:trPr>
          <w:gridAfter w:val="2"/>
          <w:wAfter w:w="227" w:type="dxa"/>
          <w:trHeight w:val="375"/>
        </w:trPr>
        <w:tc>
          <w:tcPr>
            <w:tcW w:w="5104" w:type="dxa"/>
            <w:gridSpan w:val="5"/>
            <w:tcBorders>
              <w:top w:val="nil"/>
              <w:left w:val="nil"/>
              <w:bottom w:val="nil"/>
              <w:right w:val="nil"/>
            </w:tcBorders>
            <w:shd w:val="clear" w:color="000000" w:fill="FFFFFF"/>
            <w:noWrap/>
            <w:vAlign w:val="bottom"/>
            <w:hideMark/>
          </w:tcPr>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Pr="00FA1984" w:rsidRDefault="008047A3" w:rsidP="008047A3">
            <w:pPr>
              <w:rPr>
                <w:rFonts w:ascii="Barlow" w:eastAsia="Times New Roman" w:hAnsi="Barlow" w:cs="Calibri"/>
                <w:b/>
                <w:bCs/>
                <w:color w:val="000000"/>
                <w:sz w:val="28"/>
                <w:szCs w:val="28"/>
                <w:lang w:eastAsia="es-MX"/>
              </w:rPr>
            </w:pPr>
          </w:p>
        </w:tc>
        <w:tc>
          <w:tcPr>
            <w:tcW w:w="2551" w:type="dxa"/>
            <w:tcBorders>
              <w:top w:val="nil"/>
              <w:left w:val="nil"/>
              <w:bottom w:val="nil"/>
              <w:right w:val="nil"/>
            </w:tcBorders>
            <w:shd w:val="clear" w:color="000000" w:fill="FFFFFF"/>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75"/>
        </w:trPr>
        <w:tc>
          <w:tcPr>
            <w:tcW w:w="7655" w:type="dxa"/>
            <w:gridSpan w:val="6"/>
            <w:tcBorders>
              <w:top w:val="nil"/>
              <w:left w:val="nil"/>
              <w:bottom w:val="nil"/>
              <w:right w:val="nil"/>
            </w:tcBorders>
            <w:shd w:val="clear" w:color="000000" w:fill="FFFFFF"/>
            <w:noWrap/>
            <w:vAlign w:val="bottom"/>
            <w:hideMark/>
          </w:tcPr>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Default="008047A3" w:rsidP="008047A3">
            <w:pPr>
              <w:rPr>
                <w:rFonts w:ascii="Barlow" w:eastAsia="Times New Roman" w:hAnsi="Barlow" w:cs="Calibri"/>
                <w:b/>
                <w:bCs/>
                <w:color w:val="000000"/>
                <w:sz w:val="28"/>
                <w:szCs w:val="28"/>
                <w:lang w:eastAsia="es-MX"/>
              </w:rPr>
            </w:pPr>
          </w:p>
          <w:p w:rsidR="008047A3" w:rsidRPr="00FA1984" w:rsidRDefault="008047A3" w:rsidP="008047A3">
            <w:pPr>
              <w:rPr>
                <w:rFonts w:ascii="Barlow" w:eastAsia="Times New Roman" w:hAnsi="Barlow" w:cs="Calibri"/>
                <w:b/>
                <w:bCs/>
                <w:color w:val="000000"/>
                <w:sz w:val="28"/>
                <w:szCs w:val="28"/>
                <w:lang w:eastAsia="es-MX"/>
              </w:rPr>
            </w:pPr>
          </w:p>
        </w:tc>
        <w:tc>
          <w:tcPr>
            <w:tcW w:w="1985" w:type="dxa"/>
            <w:tcBorders>
              <w:top w:val="nil"/>
              <w:left w:val="nil"/>
              <w:bottom w:val="nil"/>
              <w:right w:val="nil"/>
            </w:tcBorders>
            <w:shd w:val="clear" w:color="000000" w:fill="FFFFFF"/>
            <w:noWrap/>
            <w:vAlign w:val="bottom"/>
            <w:hideMark/>
          </w:tcPr>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Default="008047A3" w:rsidP="008047A3">
            <w:pPr>
              <w:rPr>
                <w:rFonts w:ascii="Barlow" w:eastAsia="Times New Roman" w:hAnsi="Barlow" w:cs="Calibri"/>
                <w:color w:val="000000"/>
                <w:lang w:eastAsia="es-MX"/>
              </w:rPr>
            </w:pPr>
          </w:p>
          <w:p w:rsidR="008047A3" w:rsidRPr="00FA1984" w:rsidRDefault="008047A3" w:rsidP="008047A3">
            <w:pPr>
              <w:rPr>
                <w:rFonts w:ascii="Barlow" w:eastAsia="Times New Roman" w:hAnsi="Barlow" w:cs="Calibri"/>
                <w:color w:val="000000"/>
                <w:lang w:eastAsia="es-MX"/>
              </w:rPr>
            </w:pPr>
          </w:p>
        </w:tc>
        <w:tc>
          <w:tcPr>
            <w:tcW w:w="1701" w:type="dxa"/>
            <w:gridSpan w:val="4"/>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c>
          <w:tcPr>
            <w:tcW w:w="2551" w:type="dxa"/>
            <w:tcBorders>
              <w:top w:val="nil"/>
              <w:left w:val="nil"/>
              <w:bottom w:val="nil"/>
              <w:right w:val="nil"/>
            </w:tcBorders>
            <w:shd w:val="clear" w:color="000000" w:fill="FFFFFF"/>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r w:rsidR="00ED3E20">
              <w:rPr>
                <w:rFonts w:ascii="Barlow" w:eastAsia="Times New Roman" w:hAnsi="Barlow" w:cs="Calibri"/>
                <w:color w:val="000000"/>
                <w:lang w:eastAsia="es-MX"/>
              </w:rPr>
              <w:t>Anexo 18 J Informe de Estudios Actuariales</w:t>
            </w:r>
          </w:p>
        </w:tc>
        <w:tc>
          <w:tcPr>
            <w:tcW w:w="198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14885" w:type="dxa"/>
            <w:gridSpan w:val="18"/>
            <w:tcBorders>
              <w:top w:val="single" w:sz="8" w:space="0" w:color="auto"/>
              <w:left w:val="single" w:sz="8" w:space="0" w:color="auto"/>
              <w:bottom w:val="nil"/>
              <w:right w:val="single" w:sz="8" w:space="0" w:color="000000"/>
            </w:tcBorders>
            <w:shd w:val="clear" w:color="000000" w:fill="16365C"/>
            <w:noWrap/>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INSTITUTO DE SEGURIDAD SOCIAL DE LOS TRABAJADORES DEL ESTADO DE YUCATÁN</w:t>
            </w:r>
          </w:p>
        </w:tc>
      </w:tr>
      <w:tr w:rsidR="008047A3" w:rsidRPr="00FA1984" w:rsidTr="008047A3">
        <w:trPr>
          <w:gridAfter w:val="2"/>
          <w:wAfter w:w="227" w:type="dxa"/>
          <w:trHeight w:val="330"/>
        </w:trPr>
        <w:tc>
          <w:tcPr>
            <w:tcW w:w="14885" w:type="dxa"/>
            <w:gridSpan w:val="18"/>
            <w:tcBorders>
              <w:top w:val="nil"/>
              <w:left w:val="single" w:sz="8" w:space="0" w:color="auto"/>
              <w:bottom w:val="single" w:sz="8" w:space="0" w:color="000000"/>
              <w:right w:val="single" w:sz="8" w:space="0" w:color="000000"/>
            </w:tcBorders>
            <w:shd w:val="clear" w:color="000000" w:fill="16365C"/>
            <w:noWrap/>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Informe sobre Estudios Actuariales - LDF</w:t>
            </w:r>
          </w:p>
        </w:tc>
      </w:tr>
      <w:tr w:rsidR="008047A3" w:rsidRPr="00FA1984" w:rsidTr="008047A3">
        <w:trPr>
          <w:gridAfter w:val="2"/>
          <w:wAfter w:w="227" w:type="dxa"/>
          <w:trHeight w:val="960"/>
        </w:trPr>
        <w:tc>
          <w:tcPr>
            <w:tcW w:w="5104" w:type="dxa"/>
            <w:gridSpan w:val="5"/>
            <w:tcBorders>
              <w:top w:val="nil"/>
              <w:left w:val="single" w:sz="8" w:space="0" w:color="auto"/>
              <w:bottom w:val="single" w:sz="8" w:space="0" w:color="auto"/>
              <w:right w:val="single" w:sz="8" w:space="0" w:color="auto"/>
            </w:tcBorders>
            <w:shd w:val="clear" w:color="000000" w:fill="DCE6F1"/>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551" w:type="dxa"/>
            <w:tcBorders>
              <w:top w:val="nil"/>
              <w:left w:val="nil"/>
              <w:bottom w:val="single" w:sz="8" w:space="0" w:color="auto"/>
              <w:right w:val="single" w:sz="8" w:space="0" w:color="auto"/>
            </w:tcBorders>
            <w:shd w:val="clear" w:color="000000" w:fill="DCE6F1"/>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Pensiones y jubilaciones</w:t>
            </w:r>
          </w:p>
        </w:tc>
        <w:tc>
          <w:tcPr>
            <w:tcW w:w="1985" w:type="dxa"/>
            <w:tcBorders>
              <w:top w:val="nil"/>
              <w:left w:val="nil"/>
              <w:bottom w:val="single" w:sz="8" w:space="0" w:color="auto"/>
              <w:right w:val="single" w:sz="8" w:space="0" w:color="auto"/>
            </w:tcBorders>
            <w:shd w:val="clear" w:color="000000" w:fill="DCE6F1"/>
            <w:noWrap/>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Salud</w:t>
            </w:r>
          </w:p>
        </w:tc>
        <w:tc>
          <w:tcPr>
            <w:tcW w:w="1701" w:type="dxa"/>
            <w:gridSpan w:val="4"/>
            <w:tcBorders>
              <w:top w:val="nil"/>
              <w:left w:val="nil"/>
              <w:bottom w:val="single" w:sz="8" w:space="0" w:color="auto"/>
              <w:right w:val="single" w:sz="8" w:space="0" w:color="auto"/>
            </w:tcBorders>
            <w:shd w:val="clear" w:color="000000" w:fill="DCE6F1"/>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Riesgos de trabajo</w:t>
            </w:r>
          </w:p>
        </w:tc>
        <w:tc>
          <w:tcPr>
            <w:tcW w:w="1276" w:type="dxa"/>
            <w:gridSpan w:val="2"/>
            <w:tcBorders>
              <w:top w:val="nil"/>
              <w:left w:val="nil"/>
              <w:bottom w:val="single" w:sz="8" w:space="0" w:color="auto"/>
              <w:right w:val="single" w:sz="8" w:space="0" w:color="auto"/>
            </w:tcBorders>
            <w:shd w:val="clear" w:color="000000" w:fill="DCE6F1"/>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Invalidez y vida</w:t>
            </w:r>
          </w:p>
        </w:tc>
        <w:tc>
          <w:tcPr>
            <w:tcW w:w="2268" w:type="dxa"/>
            <w:gridSpan w:val="5"/>
            <w:tcBorders>
              <w:top w:val="nil"/>
              <w:left w:val="nil"/>
              <w:bottom w:val="single" w:sz="8" w:space="0" w:color="auto"/>
              <w:right w:val="single" w:sz="8" w:space="0" w:color="auto"/>
            </w:tcBorders>
            <w:shd w:val="clear" w:color="000000" w:fill="DCE6F1"/>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Otras prestaciones sociales</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Tipo de Sistema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r w:rsidR="008047A3" w:rsidRPr="00FA1984" w:rsidTr="008047A3">
        <w:trPr>
          <w:gridAfter w:val="2"/>
          <w:wAfter w:w="227" w:type="dxa"/>
          <w:trHeight w:val="630"/>
        </w:trPr>
        <w:tc>
          <w:tcPr>
            <w:tcW w:w="5104" w:type="dxa"/>
            <w:gridSpan w:val="5"/>
            <w:tcBorders>
              <w:top w:val="nil"/>
              <w:left w:val="single" w:sz="8" w:space="0" w:color="auto"/>
              <w:bottom w:val="nil"/>
              <w:right w:val="nil"/>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Prestación laboral o Fondo general para trabajadores del estado o municipio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630"/>
        </w:trPr>
        <w:tc>
          <w:tcPr>
            <w:tcW w:w="5104" w:type="dxa"/>
            <w:gridSpan w:val="5"/>
            <w:tcBorders>
              <w:top w:val="nil"/>
              <w:left w:val="single" w:sz="8" w:space="0" w:color="auto"/>
              <w:bottom w:val="nil"/>
              <w:right w:val="nil"/>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Beneficio definido, Contribución definida o Mixto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Población afiliada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Activos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máxima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95</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95</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95</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95</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95</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mínima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16</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16</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16</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16</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16</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promedio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43.44</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43.44</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43.44</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43.44</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43.44</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Pensionados y Jubilados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4878</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4878</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4878</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máxima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90</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90</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90</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mínima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18</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18</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18</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Edad promedio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62.87</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62.87</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62.87</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Beneficiarios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37146</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37146</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32268</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37146</w:t>
            </w:r>
          </w:p>
        </w:tc>
      </w:tr>
      <w:tr w:rsidR="008047A3" w:rsidRPr="00FA1984" w:rsidTr="008047A3">
        <w:trPr>
          <w:gridAfter w:val="2"/>
          <w:wAfter w:w="227" w:type="dxa"/>
          <w:trHeight w:val="630"/>
        </w:trPr>
        <w:tc>
          <w:tcPr>
            <w:tcW w:w="5104" w:type="dxa"/>
            <w:gridSpan w:val="5"/>
            <w:tcBorders>
              <w:top w:val="nil"/>
              <w:left w:val="single" w:sz="8" w:space="0" w:color="auto"/>
              <w:bottom w:val="nil"/>
              <w:right w:val="nil"/>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Promedio de años de servicio (trabajadores activos)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13.04</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13.04</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13.04</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13.04</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13.04</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Aportación individual al plan de pensión como % del salario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6%</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2%</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Aportación del ente público al plan de pensión </w:t>
            </w:r>
            <w:r w:rsidRPr="00FA1984">
              <w:rPr>
                <w:rFonts w:ascii="Barlow" w:eastAsia="Times New Roman" w:hAnsi="Barlow" w:cs="Calibri"/>
                <w:color w:val="000000"/>
                <w:lang w:eastAsia="es-MX"/>
              </w:rPr>
              <w:lastRenderedPageBreak/>
              <w:t>como % del salario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7%</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6%</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0.75%</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r>
      <w:tr w:rsidR="008047A3" w:rsidRPr="00FA1984" w:rsidTr="008047A3">
        <w:trPr>
          <w:gridAfter w:val="2"/>
          <w:wAfter w:w="227" w:type="dxa"/>
          <w:trHeight w:val="630"/>
        </w:trPr>
        <w:tc>
          <w:tcPr>
            <w:tcW w:w="5104" w:type="dxa"/>
            <w:gridSpan w:val="5"/>
            <w:tcBorders>
              <w:top w:val="nil"/>
              <w:left w:val="single" w:sz="8" w:space="0" w:color="auto"/>
              <w:bottom w:val="nil"/>
              <w:right w:val="nil"/>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Crecimiento esperado de los pensionados y jubilados (como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Crecimiento esperado de los activos (como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0%</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Edad de Jubilación o Pensión</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Esperanza de vida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Ingresos del Fondo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Ingresos Anuales al Fondo de Pensiones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Nómina anual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Activos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4,363,846,141.20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Pensionados y Jubilados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518,702,364.19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Beneficiarios de Pensionados y Jubilados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Monto mensual por pensión</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Máximo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25,187.40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25,187.40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25,187.40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Mínimo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525.21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525.21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525.21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Promedio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8,861.25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8,861.25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8,861.25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Monto de la reserva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4,256,259,813.35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Valor presente de las obligaciones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Pensiones y Jubilaciones en curso de pago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12,255,353,488.84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Generación actual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81,219,163,038.08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Generaciones futuras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234,402,453,093.38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945"/>
        </w:trPr>
        <w:tc>
          <w:tcPr>
            <w:tcW w:w="5104" w:type="dxa"/>
            <w:gridSpan w:val="5"/>
            <w:tcBorders>
              <w:top w:val="nil"/>
              <w:left w:val="single" w:sz="8" w:space="0" w:color="auto"/>
              <w:bottom w:val="nil"/>
              <w:right w:val="nil"/>
            </w:tcBorders>
            <w:shd w:val="clear" w:color="auto" w:fill="auto"/>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Valor presente de las contribuciones asociadas a los sueldos futuros de cotización X%</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Generación actual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7,381,364,549.62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3,406,783,638.29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425,847,954.79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Generaciones futuras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46,559,058,343.34 </w:t>
            </w:r>
          </w:p>
        </w:tc>
        <w:tc>
          <w:tcPr>
            <w:tcW w:w="198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21,488,796,158.46 </w:t>
            </w:r>
          </w:p>
        </w:tc>
        <w:tc>
          <w:tcPr>
            <w:tcW w:w="1701" w:type="dxa"/>
            <w:gridSpan w:val="4"/>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2,686,099,519.81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Valor presente de aportaciones futuras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Generación actual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17,899,521,285.37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Generaciones futuras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92,564,083,625.17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Otros Ingresos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912,541,451.26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Déficit/superávit actuarial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Generación actual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70,406,193,976.94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Generaciones futuras</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141,838,369,468.21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Periodo de suficiencia</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Año de descapitalización</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2025</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Tasa de rendimiento</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2%</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Estudio actuarial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1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Año de elaboración del estudio actuarial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2017</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945"/>
        </w:trPr>
        <w:tc>
          <w:tcPr>
            <w:tcW w:w="5104" w:type="dxa"/>
            <w:gridSpan w:val="5"/>
            <w:tcBorders>
              <w:top w:val="nil"/>
              <w:left w:val="single" w:sz="8" w:space="0" w:color="auto"/>
              <w:bottom w:val="nil"/>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Empresa que elaboró el estudio actuarial</w:t>
            </w:r>
          </w:p>
        </w:tc>
        <w:tc>
          <w:tcPr>
            <w:tcW w:w="2551"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Valuaciones Actuariales del Norte, S.C.</w:t>
            </w:r>
          </w:p>
        </w:tc>
        <w:tc>
          <w:tcPr>
            <w:tcW w:w="1985" w:type="dxa"/>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nil"/>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gridAfter w:val="2"/>
          <w:wAfter w:w="227" w:type="dxa"/>
          <w:trHeight w:val="330"/>
        </w:trPr>
        <w:tc>
          <w:tcPr>
            <w:tcW w:w="5104" w:type="dxa"/>
            <w:gridSpan w:val="5"/>
            <w:tcBorders>
              <w:top w:val="nil"/>
              <w:left w:val="single" w:sz="8" w:space="0" w:color="auto"/>
              <w:bottom w:val="single" w:sz="8" w:space="0" w:color="auto"/>
              <w:right w:val="nil"/>
            </w:tcBorders>
            <w:shd w:val="clear" w:color="auto" w:fill="auto"/>
            <w:noWrap/>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c>
          <w:tcPr>
            <w:tcW w:w="2551" w:type="dxa"/>
            <w:tcBorders>
              <w:top w:val="nil"/>
              <w:left w:val="single" w:sz="8" w:space="0" w:color="auto"/>
              <w:bottom w:val="single" w:sz="8" w:space="0" w:color="auto"/>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985" w:type="dxa"/>
            <w:tcBorders>
              <w:top w:val="nil"/>
              <w:left w:val="nil"/>
              <w:bottom w:val="single" w:sz="8" w:space="0" w:color="auto"/>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701" w:type="dxa"/>
            <w:gridSpan w:val="4"/>
            <w:tcBorders>
              <w:top w:val="nil"/>
              <w:left w:val="nil"/>
              <w:bottom w:val="single" w:sz="8" w:space="0" w:color="auto"/>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268" w:type="dxa"/>
            <w:gridSpan w:val="5"/>
            <w:tcBorders>
              <w:top w:val="nil"/>
              <w:left w:val="nil"/>
              <w:bottom w:val="single" w:sz="8" w:space="0" w:color="auto"/>
              <w:right w:val="single" w:sz="8" w:space="0" w:color="auto"/>
            </w:tcBorders>
            <w:shd w:val="clear" w:color="auto" w:fill="auto"/>
            <w:noWrap/>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bl>
    <w:p w:rsidR="008047A3" w:rsidRPr="00FA1984" w:rsidRDefault="008047A3" w:rsidP="008047A3">
      <w:pPr>
        <w:rPr>
          <w:rFonts w:ascii="Barlow" w:hAnsi="Barlow"/>
        </w:rPr>
      </w:pPr>
    </w:p>
    <w:tbl>
      <w:tblPr>
        <w:tblW w:w="9626" w:type="dxa"/>
        <w:tblCellMar>
          <w:left w:w="70" w:type="dxa"/>
          <w:right w:w="70" w:type="dxa"/>
        </w:tblCellMar>
        <w:tblLook w:val="04A0"/>
      </w:tblPr>
      <w:tblGrid>
        <w:gridCol w:w="7266"/>
        <w:gridCol w:w="2360"/>
      </w:tblGrid>
      <w:tr w:rsidR="008047A3" w:rsidRPr="00FA1984" w:rsidTr="008047A3">
        <w:trPr>
          <w:trHeight w:val="300"/>
        </w:trPr>
        <w:tc>
          <w:tcPr>
            <w:tcW w:w="7266" w:type="dxa"/>
            <w:tcBorders>
              <w:top w:val="nil"/>
              <w:left w:val="nil"/>
              <w:bottom w:val="nil"/>
              <w:right w:val="nil"/>
            </w:tcBorders>
            <w:shd w:val="clear" w:color="000000" w:fill="FFFFFF"/>
            <w:noWrap/>
            <w:vAlign w:val="bottom"/>
            <w:hideMark/>
          </w:tcPr>
          <w:p w:rsidR="008047A3" w:rsidRPr="00194A77" w:rsidRDefault="008047A3" w:rsidP="008047A3">
            <w:pPr>
              <w:rPr>
                <w:rFonts w:ascii="Barlow" w:eastAsia="Times New Roman" w:hAnsi="Barlow" w:cs="Calibri"/>
                <w:b/>
                <w:color w:val="000000"/>
                <w:lang w:eastAsia="es-MX"/>
              </w:rPr>
            </w:pPr>
            <w:r w:rsidRPr="00194A77">
              <w:rPr>
                <w:rFonts w:ascii="Barlow" w:eastAsia="Times New Roman" w:hAnsi="Barlow" w:cs="Calibri"/>
                <w:b/>
                <w:color w:val="000000"/>
                <w:lang w:eastAsia="es-MX"/>
              </w:rPr>
              <w:t> </w:t>
            </w:r>
          </w:p>
        </w:tc>
        <w:tc>
          <w:tcPr>
            <w:tcW w:w="236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7266" w:type="dxa"/>
            <w:tcBorders>
              <w:top w:val="nil"/>
              <w:left w:val="nil"/>
              <w:bottom w:val="nil"/>
              <w:right w:val="nil"/>
            </w:tcBorders>
            <w:shd w:val="clear" w:color="000000" w:fill="FFFFFF"/>
            <w:noWrap/>
            <w:vAlign w:val="bottom"/>
            <w:hideMark/>
          </w:tcPr>
          <w:p w:rsidR="008047A3" w:rsidRPr="00194A77" w:rsidRDefault="00ED3E20" w:rsidP="008047A3">
            <w:pPr>
              <w:rPr>
                <w:rFonts w:ascii="Barlow" w:eastAsia="Times New Roman" w:hAnsi="Barlow" w:cs="Calibri"/>
                <w:b/>
                <w:color w:val="000000"/>
                <w:lang w:eastAsia="es-MX"/>
              </w:rPr>
            </w:pPr>
            <w:r>
              <w:rPr>
                <w:rFonts w:ascii="Barlow" w:eastAsia="Times New Roman" w:hAnsi="Barlow" w:cs="Calibri"/>
                <w:b/>
                <w:color w:val="000000"/>
                <w:lang w:eastAsia="es-MX"/>
              </w:rPr>
              <w:t xml:space="preserve">Anexo 18 D </w:t>
            </w:r>
            <w:r w:rsidR="008047A3" w:rsidRPr="00194A77">
              <w:rPr>
                <w:rFonts w:ascii="Barlow" w:eastAsia="Times New Roman" w:hAnsi="Barlow" w:cs="Calibri"/>
                <w:b/>
                <w:color w:val="000000"/>
                <w:lang w:eastAsia="es-MX"/>
              </w:rPr>
              <w:t>CLASIFICACIÓN POR OBJETO DEL GASTO. CAPÍTULO</w:t>
            </w:r>
          </w:p>
        </w:tc>
        <w:tc>
          <w:tcPr>
            <w:tcW w:w="236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7266"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2360"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7266" w:type="dxa"/>
            <w:tcBorders>
              <w:top w:val="nil"/>
              <w:left w:val="nil"/>
              <w:bottom w:val="nil"/>
              <w:right w:val="nil"/>
            </w:tcBorders>
            <w:shd w:val="clear" w:color="4F81BD" w:fill="16365C"/>
            <w:noWrap/>
            <w:vAlign w:val="bottom"/>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CLASIFICACIÓN POR OBJETO DEL GASTO</w:t>
            </w:r>
          </w:p>
        </w:tc>
        <w:tc>
          <w:tcPr>
            <w:tcW w:w="2360" w:type="dxa"/>
            <w:tcBorders>
              <w:top w:val="nil"/>
              <w:left w:val="nil"/>
              <w:bottom w:val="nil"/>
              <w:right w:val="nil"/>
            </w:tcBorders>
            <w:shd w:val="clear" w:color="4F81BD" w:fill="16365C"/>
            <w:noWrap/>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2019</w:t>
            </w:r>
          </w:p>
        </w:tc>
      </w:tr>
      <w:tr w:rsidR="008047A3" w:rsidRPr="00FA1984" w:rsidTr="008047A3">
        <w:trPr>
          <w:trHeight w:val="300"/>
        </w:trPr>
        <w:tc>
          <w:tcPr>
            <w:tcW w:w="7266" w:type="dxa"/>
            <w:tcBorders>
              <w:top w:val="nil"/>
              <w:left w:val="nil"/>
              <w:bottom w:val="nil"/>
              <w:right w:val="nil"/>
            </w:tcBorders>
            <w:shd w:val="clear" w:color="DCE6F1"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 Gasto No Etiquetado</w:t>
            </w:r>
          </w:p>
        </w:tc>
        <w:tc>
          <w:tcPr>
            <w:tcW w:w="2360" w:type="dxa"/>
            <w:tcBorders>
              <w:top w:val="nil"/>
              <w:left w:val="nil"/>
              <w:bottom w:val="nil"/>
              <w:right w:val="nil"/>
            </w:tcBorders>
            <w:shd w:val="clear" w:color="DCE6F1"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22,148,351,672.0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1000 - SERVICIOS PERSONALES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5,896,395,165.0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2000 - MATERIALES Y SUMINISTROS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693,074,839.0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3000 - SERVICIOS GENERALES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1,891,167,353.0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4000 - TRANSFERENCIAS, ASIGNACIONES, SUBSIDIOS Y OTRAS AYUDAS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9,811,844,786.0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5000 - BIENES MUEBLES, INMUEBLES E INTANGIBLES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77,225,538.0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6000 - INVERSIÓN PÚBLICA</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62,101,065.0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7000 - INVERSIONES FINANCIERAS Y OTRAS PROVISIONES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50,117,504.0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8000 - PARTICIPACIONES Y APORTACIONES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3,611,849,987.0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9000 - DEUDA PÚBLICA</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54,575,435.0</w:t>
            </w:r>
          </w:p>
        </w:tc>
      </w:tr>
      <w:tr w:rsidR="008047A3" w:rsidRPr="00FA1984" w:rsidTr="008047A3">
        <w:trPr>
          <w:trHeight w:val="300"/>
        </w:trPr>
        <w:tc>
          <w:tcPr>
            <w:tcW w:w="7266" w:type="dxa"/>
            <w:tcBorders>
              <w:top w:val="nil"/>
              <w:left w:val="nil"/>
              <w:bottom w:val="nil"/>
              <w:right w:val="nil"/>
            </w:tcBorders>
            <w:shd w:val="clear" w:color="DCE6F1"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II. Gasto Etiquetado</w:t>
            </w:r>
          </w:p>
        </w:tc>
        <w:tc>
          <w:tcPr>
            <w:tcW w:w="2360" w:type="dxa"/>
            <w:tcBorders>
              <w:top w:val="nil"/>
              <w:left w:val="nil"/>
              <w:bottom w:val="nil"/>
              <w:right w:val="nil"/>
            </w:tcBorders>
            <w:shd w:val="clear" w:color="DCE6F1"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18,441,656,992.0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1000 - SERVICIOS PERSONALES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6,398,458,103.0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2000 - MATERIALES Y SUMINISTROS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56,392,193.0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3000 - SERVICIOS GENERALES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144,882,965.0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4000 - TRANSFERENCIAS, ASIGNACIONES, SUBSIDIOS Y OTRAS AYUDAS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7,817,580,086.0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5000 - BIENES MUEBLES, INMUEBLES E INTANGIBLES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34,446,056.0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6000 - INVERSIÓN PÚBLICA</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503,535,325.0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8000 - PARTICIPACIONES Y APORTACIONES</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3,055,779,000.0</w:t>
            </w:r>
          </w:p>
        </w:tc>
      </w:tr>
      <w:tr w:rsidR="008047A3" w:rsidRPr="00FA1984" w:rsidTr="008047A3">
        <w:trPr>
          <w:trHeight w:val="300"/>
        </w:trPr>
        <w:tc>
          <w:tcPr>
            <w:tcW w:w="7266"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9000 - DEUDA PÚBLICA</w:t>
            </w:r>
          </w:p>
        </w:tc>
        <w:tc>
          <w:tcPr>
            <w:tcW w:w="2360"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430,583,264.0</w:t>
            </w:r>
          </w:p>
        </w:tc>
      </w:tr>
      <w:tr w:rsidR="008047A3" w:rsidRPr="00FA1984" w:rsidTr="008047A3">
        <w:trPr>
          <w:trHeight w:val="315"/>
        </w:trPr>
        <w:tc>
          <w:tcPr>
            <w:tcW w:w="7266"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Total general</w:t>
            </w:r>
          </w:p>
        </w:tc>
        <w:tc>
          <w:tcPr>
            <w:tcW w:w="2360"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40,590,008,664.0</w:t>
            </w:r>
          </w:p>
        </w:tc>
      </w:tr>
    </w:tbl>
    <w:p w:rsidR="008047A3" w:rsidRPr="00FA1984" w:rsidRDefault="008047A3" w:rsidP="008047A3">
      <w:pPr>
        <w:rPr>
          <w:rFonts w:ascii="Barlow" w:hAnsi="Barlow"/>
        </w:rPr>
      </w:pPr>
    </w:p>
    <w:p w:rsidR="008047A3" w:rsidRPr="00FA1984" w:rsidRDefault="008047A3" w:rsidP="008047A3">
      <w:pPr>
        <w:rPr>
          <w:rFonts w:ascii="Barlow" w:hAnsi="Barlow"/>
        </w:rPr>
      </w:pPr>
    </w:p>
    <w:tbl>
      <w:tblPr>
        <w:tblW w:w="12064" w:type="dxa"/>
        <w:tblCellMar>
          <w:left w:w="70" w:type="dxa"/>
          <w:right w:w="70" w:type="dxa"/>
        </w:tblCellMar>
        <w:tblLook w:val="04A0"/>
      </w:tblPr>
      <w:tblGrid>
        <w:gridCol w:w="9688"/>
        <w:gridCol w:w="2376"/>
      </w:tblGrid>
      <w:tr w:rsidR="008047A3" w:rsidRPr="00FA1984" w:rsidTr="008047A3">
        <w:trPr>
          <w:trHeight w:val="375"/>
        </w:trPr>
        <w:tc>
          <w:tcPr>
            <w:tcW w:w="9688" w:type="dxa"/>
            <w:tcBorders>
              <w:top w:val="nil"/>
              <w:left w:val="nil"/>
              <w:bottom w:val="nil"/>
              <w:right w:val="nil"/>
            </w:tcBorders>
            <w:shd w:val="clear" w:color="auto" w:fill="auto"/>
            <w:noWrap/>
            <w:vAlign w:val="bottom"/>
            <w:hideMark/>
          </w:tcPr>
          <w:p w:rsidR="008047A3" w:rsidRPr="00FA1984" w:rsidRDefault="00ED3E20" w:rsidP="008047A3">
            <w:pPr>
              <w:rPr>
                <w:rFonts w:ascii="Barlow" w:eastAsia="Times New Roman" w:hAnsi="Barlow" w:cs="Calibri"/>
                <w:b/>
                <w:bCs/>
                <w:color w:val="000000"/>
                <w:sz w:val="28"/>
                <w:szCs w:val="28"/>
                <w:lang w:eastAsia="es-MX"/>
              </w:rPr>
            </w:pPr>
            <w:r>
              <w:rPr>
                <w:rFonts w:ascii="Barlow" w:eastAsia="Times New Roman" w:hAnsi="Barlow" w:cs="Calibri"/>
                <w:b/>
                <w:bCs/>
                <w:color w:val="000000"/>
                <w:sz w:val="28"/>
                <w:szCs w:val="28"/>
                <w:lang w:eastAsia="es-MX"/>
              </w:rPr>
              <w:lastRenderedPageBreak/>
              <w:t>Anexo 18 e CLASIFICA</w:t>
            </w:r>
            <w:r w:rsidR="008047A3" w:rsidRPr="00FA1984">
              <w:rPr>
                <w:rFonts w:ascii="Barlow" w:eastAsia="Times New Roman" w:hAnsi="Barlow" w:cs="Calibri"/>
                <w:b/>
                <w:bCs/>
                <w:color w:val="000000"/>
                <w:sz w:val="28"/>
                <w:szCs w:val="28"/>
                <w:lang w:eastAsia="es-MX"/>
              </w:rPr>
              <w:t>DOR POR OBJETO DEL GASTO, CAPÍTULO Y CONCEPTO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sz w:val="28"/>
                <w:szCs w:val="28"/>
                <w:lang w:eastAsia="es-MX"/>
              </w:rPr>
            </w:pP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376"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00"/>
        </w:trPr>
        <w:tc>
          <w:tcPr>
            <w:tcW w:w="9688" w:type="dxa"/>
            <w:tcBorders>
              <w:top w:val="nil"/>
              <w:left w:val="nil"/>
              <w:bottom w:val="nil"/>
              <w:right w:val="nil"/>
            </w:tcBorders>
            <w:shd w:val="clear" w:color="4F81BD" w:fill="16365C"/>
            <w:noWrap/>
            <w:vAlign w:val="bottom"/>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CAPÍTULO/ CONCEPTO</w:t>
            </w:r>
          </w:p>
        </w:tc>
        <w:tc>
          <w:tcPr>
            <w:tcW w:w="2376" w:type="dxa"/>
            <w:tcBorders>
              <w:top w:val="nil"/>
              <w:left w:val="nil"/>
              <w:bottom w:val="nil"/>
              <w:right w:val="nil"/>
            </w:tcBorders>
            <w:shd w:val="clear" w:color="4F81BD" w:fill="16365C"/>
            <w:noWrap/>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2019</w:t>
            </w:r>
          </w:p>
        </w:tc>
      </w:tr>
      <w:tr w:rsidR="008047A3" w:rsidRPr="00FA1984" w:rsidTr="008047A3">
        <w:trPr>
          <w:trHeight w:val="300"/>
        </w:trPr>
        <w:tc>
          <w:tcPr>
            <w:tcW w:w="9688" w:type="dxa"/>
            <w:tcBorders>
              <w:top w:val="nil"/>
              <w:left w:val="nil"/>
              <w:bottom w:val="single" w:sz="4" w:space="0" w:color="95B3D7"/>
              <w:right w:val="nil"/>
            </w:tcBorders>
            <w:shd w:val="clear" w:color="000000" w:fill="C5C5C5"/>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 Gasto No Etiquetado</w:t>
            </w:r>
          </w:p>
        </w:tc>
        <w:tc>
          <w:tcPr>
            <w:tcW w:w="2376" w:type="dxa"/>
            <w:tcBorders>
              <w:top w:val="nil"/>
              <w:left w:val="nil"/>
              <w:bottom w:val="nil"/>
              <w:right w:val="nil"/>
            </w:tcBorders>
            <w:shd w:val="clear" w:color="DCE6F1" w:fill="C5C5C5"/>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22,148,351,672.0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1000 - SERVICIOS PERSONALES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5,896,395,165.0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1100 - REMUNERACIONES AL PERSONAL DE CARÁCTER PERMANENTE</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2,905,265,278.0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1200 - REMUNERACIONES AL PERSONAL DE CARÁCTER TRANSITORIO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385,330,495.0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1300 - REMUNERACIONES ADICIONALES Y ESPECIALES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1,072,384,702.0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1400 - SEGURIDAD SOCIAL</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511,988,146.0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1500 - OTRAS PRESTACIONES SOCIALES Y ECONÓMICAS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430,747,556.0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1600 - PREVISIONES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299,104,871.0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1700 - PAGO DE ESTÍMULOS A SERVIDORES PÚBLICOS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291,574,117.0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2000 - MATERIALES Y SUMINISTROS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693,074,839.0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2100 - MATERIALES DE ADMINISTRACIÓN, EMISIÓN DE DOCUMENTOS Y ARTÍCULOS OFICIALES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76,519,668.0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2200 - ALIMENTOS Y UTENSILIOS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140,865,129.0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2300 - MATERIAS PRIMAS Y MATERIALES DE PRODUCCIÓN Y COMERCIALIZACIÓN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87,000.0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2400 - MATERIALES Y ARTÍCULOS DE CONSTRUCCIÓN Y DE REPARACIÓN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31,146,882.0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2500 - PRODUCTOS QUÍMICOS, FARMACÉUTICOS Y DE LABORATORIO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11,301,145.0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2600 - COMBUSTIBLES, LUBRICANTES Y ADITIVOS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304,878,318.0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2700 - VESTUARIO, BLANCOS, PRENDAS DE PROTECCIÓN Y ARTÍCULOS DEPORTIVOS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39,454,413.0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2800 - MATERIALES Y SUMINISTROS PARA SEGURIDAD</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635,000.0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2900 - HERRAMIENTAS, REFACCIONES Y ACCESORIOS MENORES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88,187,284.0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3000 - SERVICIOS GENERALES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1,891,167,353.0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3100 - SERVICIOS BÁSICOS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141,828,066.0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3200 - SERVICIOS DE ARRENDAMIENTO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499,109,796.0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3300 - SERVICIOS PROFESIONALES, CIENTÍFICOS, TÉCNICOS Y OTROS SERVICIOS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274,613,840.0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3400 - SERVICIOS FINANCIEROS, BANCARIOS Y COMERCIALES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113,861,941.0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3500 - SERVICIOS DE INSTALACIÓN, REPARACIÓN, MANTENIMIENTO Y CONSERVACIÓN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400,216,357.0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3600 - SERVICIOS DE COMUNICACIÓN SOCIAL Y PUBLICIDAD</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102,625,504.0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3700 - SERVICIOS DE TRASLADO Y VIÁTICOS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25,600,013.0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3800 - SERVICIOS OFICIALES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186,488,779.0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3900 - OTROS SERVICIOS GENERALES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146,823,057.0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4000 - TRANSFERENCIAS, ASIGNACIONES, SUBSIDIOS Y OTRAS AYUDAS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9,811,844,786.0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4100 - TRANSFERENCIAS INTERNAS Y ASIGNACIONES AL SECTOR PÚBLICO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6,414,244,893.0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4200 - TRANSFERENCIAS AL RESTO DEL SECTOR PÚBLICO  </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6,090,000.0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4300 - SUBSIDIOS Y SUBVENCIONES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1,186,587,135.0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4400 - AYUDAS SOCIALES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386,369,174.0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4500 - PENSIONES Y JUBILACIONES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1,195,700,171.0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4600 - TRANSFERENCIAS A FIDEICOMISOS, MANDATOS Y OTROS ANÁLOGOS   </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11,166,961.0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4700 - TRANSFERENCIAS A LA SEGURIDAD SOCIAL</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558,790,000.0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4800 - DONATIVOS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52,896,452.0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5000 - BIENES MUEBLES, INMUEBLES E INTANGIBLES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77,225,538.0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5100 - MOBILIARIO Y EQUIPO DE ADMINISTRACIÓN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19,390,464.0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5200 - MOBILIARIO Y EQUIPO EDUCACIONAL Y RECREATIVO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5,641,250.0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5300 - EQUIPO E INSTRUMENTAL MÉDICO Y DE LABORATORIO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5400 - VEHÍCULOS Y EQUIPO DE TRANSPORTE</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5600 - MAQUINARIA, OTROS EQUIPOS Y HERRAMIENTAS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32,258,830.0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5700 - ACTIVOS BIOLÓGICOS  </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5800 - BIENES INMUEBLES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5900 - ACTIVOS INTANGIBLES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19,934,994.0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6000 - INVERSIÓN PÚBLICA</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62,101,065.0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6100 - OBRA PÚBLICA EN BIENES DE DOMINIO PÚBLICO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14,125,000.0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6200 - OBRA PÚBLICA EN BIENES PROPIOS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47,976,065.0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7000 - INVERSIONES FINANCIERAS Y OTRAS PROVISIONES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50,117,504.0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7100 - INVERSIONES PARA EL FOMENTO DE ACTIVIDADES PRODUCTIVAS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23,900,000.0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7200 - ACCIONES Y PARTICIPACIONES DE CAPITAL</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1,949,608.0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7400 - CONCESIÓN DE PRÉSTAMOS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7900 - PROVISIONES PARA CONTINGENCIAS Y OTRAS EROGACIONES ESPECIALES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24,267,896.0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8000 - PARTICIPACIONES Y APORTACIONES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3,611,849,987.0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8100 - PARTICIPACIONES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3,384,160,724.0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8500 - CONVENIOS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227,689,263.0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9000 - DEUDA PÚBLICA</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54,575,435.0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9100 - AMORTIZACIÓN DE LA DEUDA PÚBLICA</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10,715,070.0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9200 - INTERESES DE LA DEUDA PÚBLICA</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32,860,365.0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9500 - COSTO POR COBERTURAS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11,000,000.0</w:t>
            </w:r>
          </w:p>
        </w:tc>
      </w:tr>
      <w:tr w:rsidR="008047A3" w:rsidRPr="00FA1984" w:rsidTr="008047A3">
        <w:trPr>
          <w:trHeight w:val="300"/>
        </w:trPr>
        <w:tc>
          <w:tcPr>
            <w:tcW w:w="9688" w:type="dxa"/>
            <w:tcBorders>
              <w:top w:val="nil"/>
              <w:left w:val="nil"/>
              <w:bottom w:val="single" w:sz="4" w:space="0" w:color="95B3D7"/>
              <w:right w:val="nil"/>
            </w:tcBorders>
            <w:shd w:val="clear" w:color="000000" w:fill="C5C5C5"/>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II. Gasto Etiquetado</w:t>
            </w:r>
          </w:p>
        </w:tc>
        <w:tc>
          <w:tcPr>
            <w:tcW w:w="2376" w:type="dxa"/>
            <w:tcBorders>
              <w:top w:val="nil"/>
              <w:left w:val="nil"/>
              <w:bottom w:val="nil"/>
              <w:right w:val="nil"/>
            </w:tcBorders>
            <w:shd w:val="clear" w:color="DCE6F1" w:fill="C5C5C5"/>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18,441,656,992.0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1000 - SERVICIOS PERSONALES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6,398,458,103.0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1100 - REMUNERACIONES AL PERSONAL DE CARÁCTER PERMANENTE</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3,460,436,962.0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1200 - REMUNERACIONES AL PERSONAL DE CARÁCTER TRANSITORIO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442,002,749.0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1300 - REMUNERACIONES ADICIONALES Y ESPECIALES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964,753,993.0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1400 - SEGURIDAD SOCIAL</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454,902,234.0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1500 - OTRAS PRESTACIONES SOCIALES Y ECONÓMICAS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381,052,889.0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1600 - PREVISIONES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26,086,968.0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1700 - PAGO DE ESTÍMULOS A SERVIDORES PÚBLICOS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669,222,308.0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2000 - MATERIALES Y SUMINISTROS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56,392,193.0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2100 - MATERIALES DE ADMINISTRACIÓN, EMISIÓN DE DOCUMENTOS Y ARTÍCULOS OFICIALES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13,580,477.0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2200 - ALIMENTOS Y UTENSILIOS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8,532,759.0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2300 - MATERIAS PRIMAS Y MATERIALES DE PRODUCCIÓN Y COMERCIALIZACIÓN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2400 - MATERIALES Y ARTÍCULOS DE CONSTRUCCIÓN Y DE REPARACIÓN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545,231.0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2500 - PRODUCTOS QUÍMICOS, FARMACÉUTICOS Y DE LABORATORIO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2600 - COMBUSTIBLES, LUBRICANTES Y ADITIVOS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5,410,607.0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2700 - VESTUARIO, BLANCOS, PRENDAS DE PROTECCIÓN Y ARTÍCULOS DEPORTIVOS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19,293,291.0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2800 - MATERIALES Y SUMINISTROS PARA SEGURIDAD</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7,356,000.0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2900 - HERRAMIENTAS, REFACCIONES Y ACCESORIOS MENORES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1,669,828.0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3000 - SERVICIOS GENERALES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144,882,965.0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3100 - SERVICIOS BÁSICOS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38,567,686.0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3200 - SERVICIOS DE ARRENDAMIENTO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1,633,848.0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3300 - SERVICIOS PROFESIONALES, CIENTÍFICOS, TÉCNICOS Y OTROS SERVICIOS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70,549,410.0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3400 - SERVICIOS FINANCIEROS, BANCARIOS Y COMERCIALES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3500 - SERVICIOS DE INSTALACIÓN, REPARACIÓN, MANTENIMIENTO Y CONSERVACIÓN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20,912,118.0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3600 - SERVICIOS DE COMUNICACIÓN SOCIAL Y PUBLICIDAD</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1,741,978.0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3700 - SERVICIOS DE TRASLADO Y VIÁTICOS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3,395,649.0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3800 - SERVICIOS OFICIALES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8,082,276.0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3900 - OTROS SERVICIOS GENERALES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4000 - TRANSFERENCIAS, ASIGNACIONES, SUBSIDIOS Y OTRAS AYUDAS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7,817,580,086.0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4100 - TRANSFERENCIAS INTERNAS Y ASIGNACIONES AL SECTOR PÚBLICO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7,492,645,535.0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4300 - SUBSIDIOS Y SUBVENCIONES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262,896,500.0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4400 - AYUDAS SOCIALES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62,038,051.0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5000 - BIENES MUEBLES, INMUEBLES E INTANGIBLES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34,446,056.0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5100 - MOBILIARIO Y EQUIPO DE ADMINISTRACIÓN</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7,894,000.0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5200 - MOBILIARIO Y EQUIPO EDUCACIONAL Y RECREATIVO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11,235,450.0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5300 - EQUIPO E INSTRUMENTAL MÉDICO Y DE LABORATORIO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223,189.0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5400 - VEHÍCULOS Y EQUIPO DE TRANSPORTE</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11,858,417.0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5500 - EQUIPO DE DEFENSA Y SEGURIDAD</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1,910,000.0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5600 - MAQUINARIA, OTROS EQUIPOS Y HERRAMIENTAS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1,125,000.0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5800 - BIENES INMUEBLES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5900 - ACTIVOS INTANGIBLES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200,000.0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6000 - INVERSIÓN PÚBLICA</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503,535,325.0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6100 - OBRA PÚBLICA EN BIENES DE DOMINIO PÚBLICO</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139,581,856.0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6200 - OBRA PÚBLICA EN BIENES PROPIOS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363,953,469.0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8000 - PARTICIPACIONES Y APORTACIONES</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3,055,779,000.0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8300 - APORTACIONES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3,055,779,000.0</w:t>
            </w:r>
          </w:p>
        </w:tc>
      </w:tr>
      <w:tr w:rsidR="008047A3" w:rsidRPr="00FA1984" w:rsidTr="008047A3">
        <w:trPr>
          <w:trHeight w:val="300"/>
        </w:trPr>
        <w:tc>
          <w:tcPr>
            <w:tcW w:w="9688"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9000 - DEUDA PÚBLICA</w:t>
            </w:r>
          </w:p>
        </w:tc>
        <w:tc>
          <w:tcPr>
            <w:tcW w:w="2376"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430,583,264.0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9100 - AMORTIZACIÓN DE LA DEUDA PÚBLICA</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109,468,319.0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9200 - INTERESES DE LA DEUDA PÚBLICA</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317,983,037.0</w:t>
            </w:r>
          </w:p>
        </w:tc>
      </w:tr>
      <w:tr w:rsidR="008047A3" w:rsidRPr="00FA1984" w:rsidTr="008047A3">
        <w:trPr>
          <w:trHeight w:val="300"/>
        </w:trPr>
        <w:tc>
          <w:tcPr>
            <w:tcW w:w="9688" w:type="dxa"/>
            <w:tcBorders>
              <w:top w:val="nil"/>
              <w:left w:val="nil"/>
              <w:bottom w:val="nil"/>
              <w:right w:val="nil"/>
            </w:tcBorders>
            <w:shd w:val="clear" w:color="auto" w:fill="auto"/>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9500 - COSTO POR COBERTURAS</w:t>
            </w:r>
          </w:p>
        </w:tc>
        <w:tc>
          <w:tcPr>
            <w:tcW w:w="2376"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3,131,908.0</w:t>
            </w:r>
          </w:p>
        </w:tc>
      </w:tr>
      <w:tr w:rsidR="008047A3" w:rsidRPr="00FA1984" w:rsidTr="008047A3">
        <w:trPr>
          <w:trHeight w:val="315"/>
        </w:trPr>
        <w:tc>
          <w:tcPr>
            <w:tcW w:w="9688"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Total general</w:t>
            </w:r>
          </w:p>
        </w:tc>
        <w:tc>
          <w:tcPr>
            <w:tcW w:w="2376"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40,590,008,664.0</w:t>
            </w:r>
          </w:p>
        </w:tc>
      </w:tr>
    </w:tbl>
    <w:p w:rsidR="008047A3" w:rsidRPr="00FA1984" w:rsidRDefault="008047A3" w:rsidP="008047A3">
      <w:pPr>
        <w:rPr>
          <w:rFonts w:ascii="Barlow" w:hAnsi="Barlow"/>
        </w:rPr>
      </w:pPr>
    </w:p>
    <w:tbl>
      <w:tblPr>
        <w:tblW w:w="11400" w:type="dxa"/>
        <w:tblCellMar>
          <w:left w:w="70" w:type="dxa"/>
          <w:right w:w="70" w:type="dxa"/>
        </w:tblCellMar>
        <w:tblLook w:val="04A0"/>
      </w:tblPr>
      <w:tblGrid>
        <w:gridCol w:w="9515"/>
        <w:gridCol w:w="2014"/>
      </w:tblGrid>
      <w:tr w:rsidR="008047A3" w:rsidRPr="00FA1984" w:rsidTr="008047A3">
        <w:trPr>
          <w:trHeight w:val="375"/>
        </w:trPr>
        <w:tc>
          <w:tcPr>
            <w:tcW w:w="9515" w:type="dxa"/>
            <w:tcBorders>
              <w:top w:val="nil"/>
              <w:left w:val="nil"/>
              <w:bottom w:val="nil"/>
              <w:right w:val="nil"/>
            </w:tcBorders>
            <w:shd w:val="clear" w:color="000000" w:fill="FFFFFF"/>
            <w:noWrap/>
            <w:vAlign w:val="bottom"/>
            <w:hideMark/>
          </w:tcPr>
          <w:p w:rsidR="008047A3" w:rsidRPr="00FA1984" w:rsidRDefault="00ED3E20" w:rsidP="008047A3">
            <w:pPr>
              <w:rPr>
                <w:rFonts w:ascii="Barlow" w:eastAsia="Times New Roman" w:hAnsi="Barlow" w:cs="Calibri"/>
                <w:b/>
                <w:bCs/>
                <w:color w:val="000000"/>
                <w:sz w:val="28"/>
                <w:szCs w:val="28"/>
                <w:lang w:eastAsia="es-MX"/>
              </w:rPr>
            </w:pPr>
            <w:r>
              <w:rPr>
                <w:rFonts w:ascii="Barlow" w:eastAsia="Times New Roman" w:hAnsi="Barlow" w:cs="Calibri"/>
                <w:b/>
                <w:bCs/>
                <w:color w:val="000000"/>
                <w:sz w:val="28"/>
                <w:szCs w:val="28"/>
                <w:lang w:eastAsia="es-MX"/>
              </w:rPr>
              <w:t xml:space="preserve">Anexo 18 f </w:t>
            </w:r>
            <w:r w:rsidR="008047A3" w:rsidRPr="00FA1984">
              <w:rPr>
                <w:rFonts w:ascii="Barlow" w:eastAsia="Times New Roman" w:hAnsi="Barlow" w:cs="Calibri"/>
                <w:b/>
                <w:bCs/>
                <w:color w:val="000000"/>
                <w:sz w:val="28"/>
                <w:szCs w:val="28"/>
                <w:lang w:eastAsia="es-MX"/>
              </w:rPr>
              <w:t xml:space="preserve">CLASIFICACIÓN ADMINISTRATIVA </w:t>
            </w:r>
          </w:p>
        </w:tc>
        <w:tc>
          <w:tcPr>
            <w:tcW w:w="188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951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88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300"/>
        </w:trPr>
        <w:tc>
          <w:tcPr>
            <w:tcW w:w="9515" w:type="dxa"/>
            <w:tcBorders>
              <w:top w:val="nil"/>
              <w:left w:val="nil"/>
              <w:bottom w:val="nil"/>
              <w:right w:val="nil"/>
            </w:tcBorders>
            <w:shd w:val="clear" w:color="4F81BD" w:fill="16365C"/>
            <w:noWrap/>
            <w:vAlign w:val="bottom"/>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CLASIFICACIÓN ADMINISTRATIVA </w:t>
            </w:r>
          </w:p>
        </w:tc>
        <w:tc>
          <w:tcPr>
            <w:tcW w:w="1885" w:type="dxa"/>
            <w:tcBorders>
              <w:top w:val="nil"/>
              <w:left w:val="nil"/>
              <w:bottom w:val="nil"/>
              <w:right w:val="nil"/>
            </w:tcBorders>
            <w:shd w:val="clear" w:color="4F81BD" w:fill="16365C"/>
            <w:noWrap/>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2019</w:t>
            </w:r>
          </w:p>
        </w:tc>
      </w:tr>
      <w:tr w:rsidR="008047A3" w:rsidRPr="00FA1984" w:rsidTr="008047A3">
        <w:trPr>
          <w:trHeight w:val="300"/>
        </w:trPr>
        <w:tc>
          <w:tcPr>
            <w:tcW w:w="9515" w:type="dxa"/>
            <w:tcBorders>
              <w:top w:val="nil"/>
              <w:left w:val="nil"/>
              <w:bottom w:val="nil"/>
              <w:right w:val="nil"/>
            </w:tcBorders>
            <w:shd w:val="clear" w:color="DCE6F1" w:fill="C5C5C5"/>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 Gasto No Etiquetado</w:t>
            </w:r>
          </w:p>
        </w:tc>
        <w:tc>
          <w:tcPr>
            <w:tcW w:w="1885" w:type="dxa"/>
            <w:tcBorders>
              <w:top w:val="nil"/>
              <w:left w:val="nil"/>
              <w:bottom w:val="nil"/>
              <w:right w:val="nil"/>
            </w:tcBorders>
            <w:shd w:val="clear" w:color="DCE6F1" w:fill="C5C5C5"/>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22,148,351,672.0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COMISIÓN DE LOS DERECHOS HUMANOS DEL ESTADO DE YUCATÁN</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35,765,743.0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CONSEJERÍA JURÍDICA</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189,796,820.0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DESPACHO DEL GOBERNADOR</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31,603,112.0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DEUDA PÚBLICA</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119,725,996.0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FISCALÍA GENERAL DEL ESTADO</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442,106,695.0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INSTITUTO ELECTORAL Y DE PARTICIPACION CIUDADANA DE YUCATÁN</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184,596,745.0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INSTITUTO ESTATAL DE TRANSPARENCIA, ACCESO A LA INFORMACIÓN PÚBLICA Y PROTECCIÓN DE DATOS PERSONALES</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30,708,917.0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JUBILACIONES Y PENSIONES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641,182,171.0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PARTICIPACIONES,  APORTACIONES  Y TRANSFERENCIAS A MUNICIPIOS</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3,611,849,987.0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PODER JUDICIAL</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525,121,077.0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PODER LEGISLATIVO</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209,230,167.0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ADMINISTRACIÓN Y FINANZAS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2,577,246,092.0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RURAL</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282,220,438.0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SOCIAL</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581,895,768.0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SUSTENTABLE</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466,533,503.0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EDUCACIÓN</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3,528,185,789.0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FOMENTO ECONÓMICO Y TRABAJO</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587,164,001.0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FOMENTO TURÍSTICO</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493,194,911.0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SECRETARIA DE INVESTIGACIÓN, INNOVACIÓN Y EDUCACIÓN SUPERIOR</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332,484,840.0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LA CONTRALORÍA GENERAL</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90,285,285.0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LA CULTURA Y LAS ARTES</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489,700,807.0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LAS MUJERES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60,085,609.0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OBRAS PÚBLICAS</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1,171,992,390.0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PESCA Y ACUACULTURA SUSTENTABLES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114,459,907.0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SECRETARÍA DE SALUD</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1,919,651,853.0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SEGURIDAD PÚBLICA</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2,264,783,000.0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EJECUTIVA DEL SISTEMA ESTATAL ANTICORRUPCIÓN</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19,582,640.0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GENERAL DE GOBIERNO</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604,406,052.0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TRIBUNAL DE JUSTICIA  ADMINISTRATIVA DEL ESTADO DE YUCATÁN</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31,762,274.0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TRIBUNAL ELECTORAL DEL ESTADO DE YUCATÁN</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31,695,287.0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UNIVERSIDAD AUTÓNOMA DE YUCATÁN</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479,333,796.0</w:t>
            </w:r>
          </w:p>
        </w:tc>
      </w:tr>
      <w:tr w:rsidR="008047A3" w:rsidRPr="00FA1984" w:rsidTr="008047A3">
        <w:trPr>
          <w:trHeight w:val="300"/>
        </w:trPr>
        <w:tc>
          <w:tcPr>
            <w:tcW w:w="9515" w:type="dxa"/>
            <w:tcBorders>
              <w:top w:val="nil"/>
              <w:left w:val="nil"/>
              <w:bottom w:val="nil"/>
              <w:right w:val="nil"/>
            </w:tcBorders>
            <w:shd w:val="clear" w:color="DCE6F1" w:fill="C5C5C5"/>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II. Gasto Etiquetado</w:t>
            </w:r>
          </w:p>
        </w:tc>
        <w:tc>
          <w:tcPr>
            <w:tcW w:w="1885" w:type="dxa"/>
            <w:tcBorders>
              <w:top w:val="nil"/>
              <w:left w:val="nil"/>
              <w:bottom w:val="nil"/>
              <w:right w:val="nil"/>
            </w:tcBorders>
            <w:shd w:val="clear" w:color="DCE6F1" w:fill="C5C5C5"/>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18,441,656,992.0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CONSEJERÍA JURÍDICA</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4,295,500.0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DEUDA PÚBLICA</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430,583,264.0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FISCALÍA GENERAL DEL ESTADO</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2,928,194.0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PARTICIPACIONES,  APORTACIONES  Y TRANSFERENCIAS A MUNICIPIOS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3,055,779,000.0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RURAL</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204,498,804.0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SOCIAL</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299,333,210.0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DESARROLLO SUSTENTABLE</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105,497,037.0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EDUCACIÓN</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7,535,145,626.0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FOMENTO ECONÓMICO Y TRABAJO</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39,786,000.0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FOMENTO TURÍSTICO</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10,500,000.0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SECRETARIA DE INVESTIGACIÓN, INNOVACIÓN Y EDUCACIÓN SUPERIOR</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439,964,037.0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LA CULTURA Y LAS ARTES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20,887,400.0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LAS MUJERES</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17,713,230.0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OBRAS PÚBLICAS</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588,193,137.0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SALUD</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3,398,927,889.0</w:t>
            </w:r>
          </w:p>
        </w:tc>
      </w:tr>
      <w:tr w:rsidR="008047A3" w:rsidRPr="00FA1984" w:rsidTr="008047A3">
        <w:trPr>
          <w:trHeight w:val="300"/>
        </w:trPr>
        <w:tc>
          <w:tcPr>
            <w:tcW w:w="9515" w:type="dxa"/>
            <w:tcBorders>
              <w:top w:val="nil"/>
              <w:left w:val="nil"/>
              <w:bottom w:val="nil"/>
              <w:right w:val="nil"/>
            </w:tcBorders>
            <w:shd w:val="clear" w:color="auto" w:fill="auto"/>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SECRETARÍA DE SEGURIDAD PÚBLICA</w:t>
            </w:r>
          </w:p>
        </w:tc>
        <w:tc>
          <w:tcPr>
            <w:tcW w:w="1885" w:type="dxa"/>
            <w:tcBorders>
              <w:top w:val="nil"/>
              <w:left w:val="nil"/>
              <w:bottom w:val="nil"/>
              <w:right w:val="nil"/>
            </w:tcBorders>
            <w:shd w:val="clear" w:color="auto" w:fill="auto"/>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311,195,206.0</w:t>
            </w:r>
          </w:p>
        </w:tc>
      </w:tr>
      <w:tr w:rsidR="008047A3" w:rsidRPr="00FA1984" w:rsidTr="008047A3">
        <w:trPr>
          <w:trHeight w:val="300"/>
        </w:trPr>
        <w:tc>
          <w:tcPr>
            <w:tcW w:w="9515"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UNIVERSIDAD AUTÓNOMA DE YUCATÁN</w:t>
            </w:r>
          </w:p>
        </w:tc>
        <w:tc>
          <w:tcPr>
            <w:tcW w:w="1885" w:type="dxa"/>
            <w:tcBorders>
              <w:top w:val="nil"/>
              <w:left w:val="nil"/>
              <w:bottom w:val="nil"/>
              <w:right w:val="nil"/>
            </w:tcBorders>
            <w:shd w:val="clear" w:color="000000" w:fill="F2F2F2"/>
            <w:noWrap/>
            <w:vAlign w:val="bottom"/>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1,976,429,458.0</w:t>
            </w:r>
          </w:p>
        </w:tc>
      </w:tr>
      <w:tr w:rsidR="008047A3" w:rsidRPr="00FA1984" w:rsidTr="008047A3">
        <w:trPr>
          <w:trHeight w:val="315"/>
        </w:trPr>
        <w:tc>
          <w:tcPr>
            <w:tcW w:w="9515"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TOTAL</w:t>
            </w:r>
          </w:p>
        </w:tc>
        <w:tc>
          <w:tcPr>
            <w:tcW w:w="1885"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40,590,008,664.0</w:t>
            </w:r>
          </w:p>
        </w:tc>
      </w:tr>
    </w:tbl>
    <w:p w:rsidR="008047A3" w:rsidRPr="00FA1984" w:rsidRDefault="008047A3" w:rsidP="008047A3">
      <w:pPr>
        <w:rPr>
          <w:rFonts w:ascii="Barlow" w:hAnsi="Barlow"/>
        </w:rPr>
      </w:pPr>
    </w:p>
    <w:tbl>
      <w:tblPr>
        <w:tblW w:w="13217" w:type="dxa"/>
        <w:tblCellMar>
          <w:left w:w="70" w:type="dxa"/>
          <w:right w:w="70" w:type="dxa"/>
        </w:tblCellMar>
        <w:tblLook w:val="04A0"/>
      </w:tblPr>
      <w:tblGrid>
        <w:gridCol w:w="11009"/>
        <w:gridCol w:w="2208"/>
      </w:tblGrid>
      <w:tr w:rsidR="008047A3" w:rsidRPr="00FA1984" w:rsidTr="008047A3">
        <w:trPr>
          <w:trHeight w:val="315"/>
        </w:trPr>
        <w:tc>
          <w:tcPr>
            <w:tcW w:w="11009" w:type="dxa"/>
            <w:tcBorders>
              <w:top w:val="nil"/>
              <w:left w:val="nil"/>
              <w:bottom w:val="nil"/>
              <w:right w:val="nil"/>
            </w:tcBorders>
            <w:shd w:val="clear" w:color="auto" w:fill="auto"/>
            <w:noWrap/>
            <w:vAlign w:val="bottom"/>
            <w:hideMark/>
          </w:tcPr>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8047A3" w:rsidP="008047A3">
            <w:pPr>
              <w:rPr>
                <w:rFonts w:ascii="Barlow" w:eastAsia="Times New Roman" w:hAnsi="Barlow" w:cs="Calibri"/>
                <w:b/>
                <w:bCs/>
                <w:color w:val="000000"/>
                <w:lang w:eastAsia="es-MX"/>
              </w:rPr>
            </w:pPr>
          </w:p>
          <w:p w:rsidR="008047A3" w:rsidRDefault="00ED3E20" w:rsidP="008047A3">
            <w:pPr>
              <w:rPr>
                <w:rFonts w:ascii="Barlow" w:eastAsia="Times New Roman" w:hAnsi="Barlow" w:cs="Calibri"/>
                <w:b/>
                <w:bCs/>
                <w:color w:val="000000"/>
                <w:lang w:eastAsia="es-MX"/>
              </w:rPr>
            </w:pPr>
            <w:r>
              <w:rPr>
                <w:rFonts w:ascii="Barlow" w:eastAsia="Times New Roman" w:hAnsi="Barlow" w:cs="Calibri"/>
                <w:b/>
                <w:bCs/>
                <w:color w:val="000000"/>
                <w:lang w:eastAsia="es-MX"/>
              </w:rPr>
              <w:t>Anexo 18 g Clasificación Programática</w:t>
            </w:r>
          </w:p>
          <w:p w:rsidR="008047A3" w:rsidRPr="00FA1984" w:rsidRDefault="008047A3" w:rsidP="008047A3">
            <w:pPr>
              <w:rPr>
                <w:rFonts w:ascii="Barlow" w:eastAsia="Times New Roman" w:hAnsi="Barlow" w:cs="Calibri"/>
                <w:b/>
                <w:bCs/>
                <w:color w:val="000000"/>
                <w:lang w:eastAsia="es-MX"/>
              </w:rPr>
            </w:pPr>
          </w:p>
        </w:tc>
        <w:tc>
          <w:tcPr>
            <w:tcW w:w="22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p>
        </w:tc>
      </w:tr>
      <w:tr w:rsidR="008047A3" w:rsidRPr="00FA1984" w:rsidTr="008047A3">
        <w:trPr>
          <w:trHeight w:val="315"/>
        </w:trPr>
        <w:tc>
          <w:tcPr>
            <w:tcW w:w="11009"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c>
          <w:tcPr>
            <w:tcW w:w="2208" w:type="dxa"/>
            <w:tcBorders>
              <w:top w:val="nil"/>
              <w:left w:val="nil"/>
              <w:bottom w:val="nil"/>
              <w:right w:val="nil"/>
            </w:tcBorders>
            <w:shd w:val="clear" w:color="auto" w:fill="auto"/>
            <w:noWrap/>
            <w:vAlign w:val="bottom"/>
            <w:hideMark/>
          </w:tcPr>
          <w:p w:rsidR="008047A3" w:rsidRPr="00FA1984" w:rsidRDefault="008047A3" w:rsidP="008047A3">
            <w:pPr>
              <w:rPr>
                <w:rFonts w:ascii="Barlow" w:eastAsia="Times New Roman" w:hAnsi="Barlow" w:cs="Times New Roman"/>
                <w:sz w:val="20"/>
                <w:szCs w:val="20"/>
                <w:lang w:eastAsia="es-MX"/>
              </w:rPr>
            </w:pPr>
          </w:p>
        </w:tc>
      </w:tr>
      <w:tr w:rsidR="008047A3" w:rsidRPr="00FA1984" w:rsidTr="008047A3">
        <w:trPr>
          <w:trHeight w:val="315"/>
        </w:trPr>
        <w:tc>
          <w:tcPr>
            <w:tcW w:w="11009" w:type="dxa"/>
            <w:tcBorders>
              <w:top w:val="nil"/>
              <w:left w:val="nil"/>
              <w:bottom w:val="nil"/>
              <w:right w:val="nil"/>
            </w:tcBorders>
            <w:shd w:val="clear" w:color="4F81BD" w:fill="16365C"/>
            <w:noWrap/>
            <w:vAlign w:val="bottom"/>
            <w:hideMark/>
          </w:tcPr>
          <w:p w:rsidR="008047A3" w:rsidRPr="00FA1984" w:rsidRDefault="008047A3" w:rsidP="008047A3">
            <w:pP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Clasificación Programática</w:t>
            </w:r>
          </w:p>
        </w:tc>
        <w:tc>
          <w:tcPr>
            <w:tcW w:w="2208" w:type="dxa"/>
            <w:tcBorders>
              <w:top w:val="nil"/>
              <w:left w:val="nil"/>
              <w:bottom w:val="nil"/>
              <w:right w:val="nil"/>
            </w:tcBorders>
            <w:shd w:val="clear" w:color="4F81BD" w:fill="16365C"/>
            <w:noWrap/>
            <w:vAlign w:val="bottom"/>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 xml:space="preserve"> Autorizado </w:t>
            </w:r>
          </w:p>
        </w:tc>
      </w:tr>
      <w:tr w:rsidR="008047A3" w:rsidRPr="00FA1984" w:rsidTr="008047A3">
        <w:trPr>
          <w:trHeight w:val="315"/>
        </w:trPr>
        <w:tc>
          <w:tcPr>
            <w:tcW w:w="11009"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01- Gobierno</w:t>
            </w:r>
          </w:p>
        </w:tc>
        <w:tc>
          <w:tcPr>
            <w:tcW w:w="2208"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6,049,514,602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01.02.02- Justicia</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12,706,789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01.02.02.02- Procuración de Justicia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12,706,789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01.02.03- Coordinación de la Política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33,928,515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01.02.03.01- Presidencia/Gubernatura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33,916,595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01.02.03.04- Función Pública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11,920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01.04.03- Coordinación de la Política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129,588,848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01.04.03.04- Función Pública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11,163,212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01.04.03.07- Población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2,590,768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01.04.03.08- Territorio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115,834,868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01.05.01- Legislación</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137,009,613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01.05.01.01- Legislación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137,009,613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01.05.02- Justicia</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1,342,766,151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01.05.02.01- Impartición de Justicia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610,198,520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01.05.02.02- Procuración de Justicia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485,029,788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01.05.02.03- Reclusión y Readaptación Social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189,699,872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01.05.02.04- Derechos Humanos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57,837,971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01.05.03- Coordinación de la Política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270,785,087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01.05.03.04- Función Pública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1,148,915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01.05.03.05- Asuntos Jurídicos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85,039,427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01.05.03.06- Organización de Procesos Electorales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184,596,745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01.05.07- Asuntos de Orden Público y Seguridad Interior</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2,615,505,529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01.05.07.01- Policía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2,538,719,909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01.05.07.02- Protección Civil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w:t>
            </w:r>
            <w:r w:rsidRPr="00FA1984">
              <w:rPr>
                <w:rFonts w:ascii="Barlow" w:eastAsia="Times New Roman" w:hAnsi="Barlow" w:cs="Calibri"/>
                <w:color w:val="000000"/>
                <w:lang w:eastAsia="es-MX"/>
              </w:rPr>
              <w:lastRenderedPageBreak/>
              <w:t xml:space="preserve">31,133,148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01.05.07.03- Otros Asuntos de Orden Público y Seguridad</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45,652,472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01.05.08- Otros Servicios Generales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121,089,022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01.05.08.01- Servicios Registrales, Administrativos y Patrimoniales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114,361,066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01.05.08.04- Acceso a la Información Pública Gubernamental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6,727,956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01.06.03- Coordinación de la Política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429,297,746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01.06.03.01- Presidencia / Gubernatura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197,516,330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01.06.03.02- Política Interior</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26,929,234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01.06.03.04- Función Pública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179,949,288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01.06.03.09- Otros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24,902,894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01.06.05- Asuntos Financieros y Hacendarios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719,070,765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01.06.05.02- Asuntos Hacendarios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719,070,765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01.06.08- Otros Servicios Generales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237,766,536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01.06.08.03- Servicios de Comunicación y Medios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203,734,184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01.06.08.04- Acceso a la Información Pública Gubernamental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34,032,352 </w:t>
            </w:r>
          </w:p>
        </w:tc>
      </w:tr>
      <w:tr w:rsidR="008047A3" w:rsidRPr="00FA1984" w:rsidTr="008047A3">
        <w:trPr>
          <w:trHeight w:val="315"/>
        </w:trPr>
        <w:tc>
          <w:tcPr>
            <w:tcW w:w="11009"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02- Desarrollo Social</w:t>
            </w:r>
          </w:p>
        </w:tc>
        <w:tc>
          <w:tcPr>
            <w:tcW w:w="2208"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24,868,816,861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02.02.02- Vivienda y Servicios a la Comunidad</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430,192,411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02.02.02.05- Vivienda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430,192,411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02.02.03- Salud</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5,361,089,637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02.02.03.01- Prestación de Servicios a la Comunidad</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430,446,210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02.02.03.02- Prestación de Servicios de Salud a la Persona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4,348,342,026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02.02.03.03- Generación de Recursos para la Salud</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83,235,916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02.02.03.04- Rectoría del Sistema de Salud</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315,626,953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02.02.03.05- Protección Social en Salud</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183,438,532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02.02.04- Recreación, Cultura y otras Manifestaciones Sociales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10,362,155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02.02.04.04- Asuntos Religiosos y Otras Manifestaciones Sociales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10,362,155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02.02.06- Protección Social</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1,048,146,725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02.02.06.05- Alimentación y Nutrición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276,988,409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02.02.06.07- Indígenas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38,420,386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02.02.06.08- Otros Grupos Vulnerables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587,606,506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02.02.06.09- Otros de Seguridad Social y Asistencia Social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145,131,424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02.02.07- Otros Asuntos Sociales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30,775,479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02.02.07.01- Otros Asuntos Sociales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30,775,479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02.03.04- Recreación, Cultura y Otras Manifestaciones Sociales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792,620,599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02.03.04.01- Deporte y Recreación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276,929,737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02.03.04.02- Cultura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w:t>
            </w:r>
            <w:r w:rsidRPr="00FA1984">
              <w:rPr>
                <w:rFonts w:ascii="Barlow" w:eastAsia="Times New Roman" w:hAnsi="Barlow" w:cs="Calibri"/>
                <w:color w:val="000000"/>
                <w:lang w:eastAsia="es-MX"/>
              </w:rPr>
              <w:lastRenderedPageBreak/>
              <w:t xml:space="preserve">515,690,862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02.03.05- Educación</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13,970,487,726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02.03.05.01- Educación Básica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7,557,556,302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02.03.05.02- Educación Media Superior</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740,003,078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02.03.05.03- Educación Superior</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2,322,507,595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02.03.05.05- Educación para Adultos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249,900,008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02.03.05.06- Otros Servicios Educativos y Actividades Inherentes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3,100,520,743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02.03.06- Comunicaciones</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43,122,665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02.03.06.09- Otros de Seguridad Social y Asistencia Social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43,122,665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02.04.01- Protección Ambiental</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569,946,216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02.04.01.01- Ordenación de Desechos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54,932,496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02.04.01.03- Ordenación de Aguas Residuales, Drenaje y Alcantarillado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460,274,921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02.04.01.04- Reducción de la Contaminación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37,215,046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02.04.01.05- Protección a la Diversidad Biológica y del Paisaje</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17,523,753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02.04.02- Vivienda y Servicios a la Comunidad</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424,000,868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02.04.02.01- Urbanización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319,979,862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02.04.02.03- Abastecimiento de Agua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96,224,271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02.04.02.04- Alumbrado Público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w:t>
            </w:r>
            <w:r w:rsidRPr="00FA1984">
              <w:rPr>
                <w:rFonts w:ascii="Barlow" w:eastAsia="Times New Roman" w:hAnsi="Barlow" w:cs="Calibri"/>
                <w:color w:val="000000"/>
                <w:lang w:eastAsia="es-MX"/>
              </w:rPr>
              <w:lastRenderedPageBreak/>
              <w:t xml:space="preserve">7,796,735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02.06.06- Protección Social</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2,188,072,380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02.06.06.02- Edad Avanzada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2,075,157,828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02.06.06.09- Otros de Seguridad Social y Asistencia Social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112,914,552 </w:t>
            </w:r>
          </w:p>
        </w:tc>
      </w:tr>
      <w:tr w:rsidR="008047A3" w:rsidRPr="00FA1984" w:rsidTr="008047A3">
        <w:trPr>
          <w:trHeight w:val="315"/>
        </w:trPr>
        <w:tc>
          <w:tcPr>
            <w:tcW w:w="11009"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03- Desarrollo Económico</w:t>
            </w:r>
          </w:p>
        </w:tc>
        <w:tc>
          <w:tcPr>
            <w:tcW w:w="2208"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2,453,738,954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03.01.01- Asuntos Económicos, Comerciales y Laborales en General</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563,812,975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03.01.01.01- Asuntos Económicos y Comerciales en General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504,363,135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03.01.01.02- Asuntos Laborales Generales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59,449,840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03.01.02- Agropecuaria, Silvicultura, Pesca y Caza</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400,976,128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03.01.02.01- Agropecuaria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393,091,495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03.01.02.03- Acuacultura, Pesca y Caza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7,884,633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03.01.05- Transporte</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18,102,712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03.01.05.02- Transporte por Agua y Puertos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18,102,712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03.01.07- Turismo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503,674,911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03.01.07.01- Turismo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503,674,911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03.01.08- Ciencia, Tecnología e Innovación</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95,183,934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03.01.08.01- Investigación Científica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35,326,088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03.01.08.03- Servicios Científicos y Tecnológicos</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47,835,689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03.01.08.04- Innovación</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w:t>
            </w:r>
            <w:r w:rsidRPr="00FA1984">
              <w:rPr>
                <w:rFonts w:ascii="Barlow" w:eastAsia="Times New Roman" w:hAnsi="Barlow" w:cs="Calibri"/>
                <w:color w:val="000000"/>
                <w:lang w:eastAsia="es-MX"/>
              </w:rPr>
              <w:lastRenderedPageBreak/>
              <w:t xml:space="preserve">12,022,157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03.03.08- Ciencia, Tecnología e Innovación</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16,263,309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03.03.08.01- Investigación Científica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16,263,309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03.04.05- Transporte</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852,535,058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03.04.05.01- Transporte por Carretera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513,907,282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03.04.05.06- Otros relacionados con el Transporte</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338,627,776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03.06.01- Asuntos Económicos, Comerciales y Laborales en General</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3,189,927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03.06.01.01- Asuntos Económicos y Comerciales en General</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3,189,927 </w:t>
            </w:r>
          </w:p>
        </w:tc>
      </w:tr>
      <w:tr w:rsidR="008047A3" w:rsidRPr="00FA1984" w:rsidTr="008047A3">
        <w:trPr>
          <w:trHeight w:val="315"/>
        </w:trPr>
        <w:tc>
          <w:tcPr>
            <w:tcW w:w="11009"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04- Otras No Clasificadas en Funciones Anteriores</w:t>
            </w:r>
          </w:p>
        </w:tc>
        <w:tc>
          <w:tcPr>
            <w:tcW w:w="2208" w:type="dxa"/>
            <w:tcBorders>
              <w:top w:val="nil"/>
              <w:left w:val="nil"/>
              <w:bottom w:val="nil"/>
              <w:right w:val="nil"/>
            </w:tcBorders>
            <w:shd w:val="clear" w:color="000000" w:fill="95B3D7"/>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7,217,938,247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04.01.02- Transferencias, Participaciones y Aportaciones entre Diferentes Órdenes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3,611,849,987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04.01.02.02- Participaciones entre Diferentes Niveles y Órdenes de Gobierno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3,611,849,987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04.02.02- Transferencias, Participaciones y Aportaciones entre Diferentes Órdenes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3,055,779,000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04.02.02.03- Aportaciones entre Diferentes Niveles y Órdenes de Gobierno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3,055,779,000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04.06.01- Transacciones de la Deuda Pública / Costo Financiero de la Deuda</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550,309,260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04.06.01.01- Deuda Pública Interna</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550,309,260 </w:t>
            </w:r>
          </w:p>
        </w:tc>
      </w:tr>
      <w:tr w:rsidR="008047A3" w:rsidRPr="00FA1984" w:rsidTr="008047A3">
        <w:trPr>
          <w:trHeight w:val="315"/>
        </w:trPr>
        <w:tc>
          <w:tcPr>
            <w:tcW w:w="11009" w:type="dxa"/>
            <w:tcBorders>
              <w:top w:val="nil"/>
              <w:left w:val="nil"/>
              <w:bottom w:val="nil"/>
              <w:right w:val="nil"/>
            </w:tcBorders>
            <w:shd w:val="clear" w:color="000000" w:fill="F2F2F2"/>
            <w:noWrap/>
            <w:vAlign w:val="bottom"/>
            <w:hideMark/>
          </w:tcPr>
          <w:p w:rsidR="008047A3" w:rsidRPr="00FA1984" w:rsidRDefault="008047A3" w:rsidP="008047A3">
            <w:pPr>
              <w:ind w:firstLineChars="100" w:firstLine="241"/>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04.06.02- Transferencias, Participaciones y Aportaciones entre Diferentes Niveles y Órdenes de Gobierno</w:t>
            </w:r>
          </w:p>
        </w:tc>
        <w:tc>
          <w:tcPr>
            <w:tcW w:w="2208" w:type="dxa"/>
            <w:tcBorders>
              <w:top w:val="nil"/>
              <w:left w:val="nil"/>
              <w:bottom w:val="nil"/>
              <w:right w:val="nil"/>
            </w:tcBorders>
            <w:shd w:val="clear" w:color="000000" w:fill="F2F2F2"/>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r>
      <w:tr w:rsidR="008047A3" w:rsidRPr="00FA1984" w:rsidTr="008047A3">
        <w:trPr>
          <w:trHeight w:val="315"/>
        </w:trPr>
        <w:tc>
          <w:tcPr>
            <w:tcW w:w="11009" w:type="dxa"/>
            <w:tcBorders>
              <w:top w:val="nil"/>
              <w:left w:val="nil"/>
              <w:bottom w:val="nil"/>
              <w:right w:val="nil"/>
            </w:tcBorders>
            <w:shd w:val="clear" w:color="000000" w:fill="FFFFFF"/>
            <w:noWrap/>
            <w:vAlign w:val="bottom"/>
            <w:hideMark/>
          </w:tcPr>
          <w:p w:rsidR="008047A3" w:rsidRPr="00FA1984" w:rsidRDefault="008047A3" w:rsidP="008047A3">
            <w:pPr>
              <w:ind w:firstLineChars="200" w:firstLine="480"/>
              <w:rPr>
                <w:rFonts w:ascii="Barlow" w:eastAsia="Times New Roman" w:hAnsi="Barlow" w:cs="Calibri"/>
                <w:color w:val="000000"/>
                <w:lang w:eastAsia="es-MX"/>
              </w:rPr>
            </w:pPr>
            <w:r w:rsidRPr="00FA1984">
              <w:rPr>
                <w:rFonts w:ascii="Barlow" w:eastAsia="Times New Roman" w:hAnsi="Barlow" w:cs="Calibri"/>
                <w:color w:val="000000"/>
                <w:lang w:eastAsia="es-MX"/>
              </w:rPr>
              <w:t>04.06.02.01- Tranferencias entre Diferentes Niveles y Órdenes de Gobierno</w:t>
            </w:r>
          </w:p>
        </w:tc>
        <w:tc>
          <w:tcPr>
            <w:tcW w:w="220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   </w:t>
            </w:r>
          </w:p>
        </w:tc>
      </w:tr>
      <w:tr w:rsidR="008047A3" w:rsidRPr="00FA1984" w:rsidTr="008047A3">
        <w:trPr>
          <w:trHeight w:val="330"/>
        </w:trPr>
        <w:tc>
          <w:tcPr>
            <w:tcW w:w="11009"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Total general</w:t>
            </w:r>
          </w:p>
        </w:tc>
        <w:tc>
          <w:tcPr>
            <w:tcW w:w="2208" w:type="dxa"/>
            <w:tcBorders>
              <w:top w:val="single" w:sz="4" w:space="0" w:color="366092"/>
              <w:left w:val="nil"/>
              <w:bottom w:val="single" w:sz="8" w:space="0" w:color="366092"/>
              <w:right w:val="nil"/>
            </w:tcBorders>
            <w:shd w:val="clear" w:color="auto" w:fill="auto"/>
            <w:noWrap/>
            <w:vAlign w:val="bottom"/>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40,590,008,664.0</w:t>
            </w:r>
          </w:p>
        </w:tc>
      </w:tr>
    </w:tbl>
    <w:p w:rsidR="008047A3" w:rsidRPr="00FA1984"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Pr="00FA1984" w:rsidRDefault="008047A3" w:rsidP="008047A3">
      <w:pPr>
        <w:rPr>
          <w:rFonts w:ascii="Barlow" w:hAnsi="Barlow"/>
        </w:rPr>
      </w:pPr>
    </w:p>
    <w:tbl>
      <w:tblPr>
        <w:tblW w:w="10124" w:type="dxa"/>
        <w:tblCellMar>
          <w:left w:w="70" w:type="dxa"/>
          <w:right w:w="70" w:type="dxa"/>
        </w:tblCellMar>
        <w:tblLook w:val="04A0"/>
      </w:tblPr>
      <w:tblGrid>
        <w:gridCol w:w="1369"/>
        <w:gridCol w:w="976"/>
        <w:gridCol w:w="977"/>
        <w:gridCol w:w="1128"/>
        <w:gridCol w:w="1265"/>
        <w:gridCol w:w="791"/>
        <w:gridCol w:w="1519"/>
        <w:gridCol w:w="1519"/>
        <w:gridCol w:w="940"/>
        <w:gridCol w:w="1055"/>
        <w:gridCol w:w="984"/>
      </w:tblGrid>
      <w:tr w:rsidR="008047A3" w:rsidRPr="00FA1984" w:rsidTr="008047A3">
        <w:trPr>
          <w:trHeight w:val="262"/>
        </w:trPr>
        <w:tc>
          <w:tcPr>
            <w:tcW w:w="4830" w:type="dxa"/>
            <w:gridSpan w:val="5"/>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b/>
                <w:bCs/>
                <w:color w:val="000000"/>
                <w:sz w:val="28"/>
                <w:szCs w:val="28"/>
                <w:lang w:eastAsia="es-MX"/>
              </w:rPr>
            </w:pPr>
            <w:r w:rsidRPr="00FA1984">
              <w:rPr>
                <w:rFonts w:ascii="Barlow" w:eastAsia="Times New Roman" w:hAnsi="Barlow" w:cs="Calibri"/>
                <w:b/>
                <w:bCs/>
                <w:color w:val="000000"/>
                <w:sz w:val="28"/>
                <w:szCs w:val="28"/>
                <w:lang w:eastAsia="es-MX"/>
              </w:rPr>
              <w:t>18i Informe Analítico de Obligaciones Diferentes de Financiamiento</w:t>
            </w:r>
          </w:p>
        </w:tc>
        <w:tc>
          <w:tcPr>
            <w:tcW w:w="60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16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16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72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1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FA1984" w:rsidTr="008047A3">
        <w:trPr>
          <w:trHeight w:val="219"/>
        </w:trPr>
        <w:tc>
          <w:tcPr>
            <w:tcW w:w="1309"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29"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29"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77"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98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60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16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116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725"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14"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18" w:type="dxa"/>
            <w:tcBorders>
              <w:top w:val="nil"/>
              <w:left w:val="nil"/>
              <w:bottom w:val="nil"/>
              <w:right w:val="nil"/>
            </w:tcBorders>
            <w:shd w:val="clear" w:color="000000" w:fill="FFFFFF"/>
            <w:noWrap/>
            <w:vAlign w:val="bottom"/>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r>
      <w:tr w:rsidR="008047A3" w:rsidRPr="000E1F8A" w:rsidTr="008047A3">
        <w:trPr>
          <w:trHeight w:val="219"/>
        </w:trPr>
        <w:tc>
          <w:tcPr>
            <w:tcW w:w="10124" w:type="dxa"/>
            <w:gridSpan w:val="11"/>
            <w:tcBorders>
              <w:top w:val="single" w:sz="8" w:space="0" w:color="auto"/>
              <w:left w:val="single" w:sz="8" w:space="0" w:color="auto"/>
              <w:bottom w:val="single" w:sz="8" w:space="0" w:color="auto"/>
              <w:right w:val="single" w:sz="8" w:space="0" w:color="000000"/>
            </w:tcBorders>
            <w:shd w:val="clear" w:color="000000" w:fill="16365C"/>
            <w:noWrap/>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GOBIERNO DEL ESTADO DE YUCATÁN</w:t>
            </w:r>
          </w:p>
        </w:tc>
      </w:tr>
      <w:tr w:rsidR="008047A3" w:rsidRPr="000E1F8A" w:rsidTr="008047A3">
        <w:trPr>
          <w:trHeight w:val="219"/>
        </w:trPr>
        <w:tc>
          <w:tcPr>
            <w:tcW w:w="10124" w:type="dxa"/>
            <w:gridSpan w:val="11"/>
            <w:tcBorders>
              <w:top w:val="single" w:sz="8" w:space="0" w:color="auto"/>
              <w:left w:val="single" w:sz="8" w:space="0" w:color="auto"/>
              <w:bottom w:val="single" w:sz="8" w:space="0" w:color="auto"/>
              <w:right w:val="single" w:sz="8" w:space="0" w:color="000000"/>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Informe Analítico de Obligaciones Diferentes de Financiamientos – LDF</w:t>
            </w:r>
          </w:p>
        </w:tc>
      </w:tr>
      <w:tr w:rsidR="008047A3" w:rsidRPr="000E1F8A" w:rsidTr="008047A3">
        <w:trPr>
          <w:trHeight w:val="208"/>
        </w:trPr>
        <w:tc>
          <w:tcPr>
            <w:tcW w:w="10124" w:type="dxa"/>
            <w:gridSpan w:val="11"/>
            <w:tcBorders>
              <w:top w:val="single" w:sz="8" w:space="0" w:color="auto"/>
              <w:left w:val="single" w:sz="8" w:space="0" w:color="auto"/>
              <w:bottom w:val="nil"/>
              <w:right w:val="single" w:sz="8" w:space="0" w:color="000000"/>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Del 1 de enero al 31 de diciembre de 2017</w:t>
            </w:r>
          </w:p>
        </w:tc>
      </w:tr>
      <w:tr w:rsidR="008047A3" w:rsidRPr="000E1F8A" w:rsidTr="008047A3">
        <w:trPr>
          <w:trHeight w:val="219"/>
        </w:trPr>
        <w:tc>
          <w:tcPr>
            <w:tcW w:w="10124" w:type="dxa"/>
            <w:gridSpan w:val="11"/>
            <w:tcBorders>
              <w:top w:val="nil"/>
              <w:left w:val="single" w:sz="8" w:space="0" w:color="auto"/>
              <w:bottom w:val="single" w:sz="8" w:space="0" w:color="auto"/>
              <w:right w:val="single" w:sz="8" w:space="0" w:color="000000"/>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(Cifras estimadas)</w:t>
            </w:r>
          </w:p>
        </w:tc>
      </w:tr>
      <w:tr w:rsidR="008047A3" w:rsidRPr="000E1F8A" w:rsidTr="008047A3">
        <w:trPr>
          <w:trHeight w:val="219"/>
        </w:trPr>
        <w:tc>
          <w:tcPr>
            <w:tcW w:w="10124" w:type="dxa"/>
            <w:gridSpan w:val="11"/>
            <w:tcBorders>
              <w:top w:val="single" w:sz="8" w:space="0" w:color="auto"/>
              <w:left w:val="single" w:sz="8" w:space="0" w:color="auto"/>
              <w:bottom w:val="single" w:sz="8" w:space="0" w:color="auto"/>
              <w:right w:val="single" w:sz="8" w:space="0" w:color="000000"/>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(PESOS)</w:t>
            </w:r>
          </w:p>
        </w:tc>
      </w:tr>
      <w:tr w:rsidR="008047A3" w:rsidRPr="000E1F8A" w:rsidTr="008047A3">
        <w:trPr>
          <w:trHeight w:val="838"/>
        </w:trPr>
        <w:tc>
          <w:tcPr>
            <w:tcW w:w="1309"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Denominación de las Obligaciones Diferentes de Financiamiento (c)</w:t>
            </w:r>
          </w:p>
        </w:tc>
        <w:tc>
          <w:tcPr>
            <w:tcW w:w="829"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Fecha del Contrato (d)</w:t>
            </w:r>
          </w:p>
        </w:tc>
        <w:tc>
          <w:tcPr>
            <w:tcW w:w="829"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Fecha de inicio de operación del proyecto (e)</w:t>
            </w:r>
          </w:p>
        </w:tc>
        <w:tc>
          <w:tcPr>
            <w:tcW w:w="877"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Fecha de vencimiento (f)</w:t>
            </w:r>
          </w:p>
        </w:tc>
        <w:tc>
          <w:tcPr>
            <w:tcW w:w="985"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de la inversión pactado (g)</w:t>
            </w:r>
          </w:p>
        </w:tc>
        <w:tc>
          <w:tcPr>
            <w:tcW w:w="605"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Plazo pactado (h)</w:t>
            </w:r>
          </w:p>
        </w:tc>
        <w:tc>
          <w:tcPr>
            <w:tcW w:w="1164"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promedio mensual del pago de la contraprestación (i)</w:t>
            </w:r>
          </w:p>
        </w:tc>
        <w:tc>
          <w:tcPr>
            <w:tcW w:w="1164"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promedio mensual del pago de la contraprestación correspondiente al pago de inversión (j)</w:t>
            </w:r>
          </w:p>
        </w:tc>
        <w:tc>
          <w:tcPr>
            <w:tcW w:w="725"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pagado de la inversión al 31 de diciembre de 2017 (k)</w:t>
            </w:r>
          </w:p>
        </w:tc>
        <w:tc>
          <w:tcPr>
            <w:tcW w:w="814" w:type="dxa"/>
            <w:vMerge w:val="restart"/>
            <w:tcBorders>
              <w:top w:val="nil"/>
              <w:left w:val="single" w:sz="8" w:space="0" w:color="auto"/>
              <w:bottom w:val="single" w:sz="8" w:space="0" w:color="000000"/>
              <w:right w:val="single" w:sz="8" w:space="0" w:color="auto"/>
            </w:tcBorders>
            <w:shd w:val="clear" w:color="000000" w:fill="16365C"/>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Monto pagado de la inversión actualizado al 31 de diciembre de 2017 (l)</w:t>
            </w:r>
          </w:p>
        </w:tc>
        <w:tc>
          <w:tcPr>
            <w:tcW w:w="818" w:type="dxa"/>
            <w:tcBorders>
              <w:top w:val="nil"/>
              <w:left w:val="nil"/>
              <w:bottom w:val="nil"/>
              <w:right w:val="single" w:sz="8" w:space="0" w:color="auto"/>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Saldo pendiente por pagar de la inversión al 31 de diciembre de 2017</w:t>
            </w:r>
          </w:p>
        </w:tc>
      </w:tr>
      <w:tr w:rsidR="008047A3" w:rsidRPr="000E1F8A" w:rsidTr="008047A3">
        <w:trPr>
          <w:trHeight w:val="219"/>
        </w:trPr>
        <w:tc>
          <w:tcPr>
            <w:tcW w:w="1309"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829"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829"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877"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985"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605"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164"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1164"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725"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814" w:type="dxa"/>
            <w:vMerge/>
            <w:tcBorders>
              <w:top w:val="nil"/>
              <w:left w:val="single" w:sz="8" w:space="0" w:color="auto"/>
              <w:bottom w:val="single" w:sz="8" w:space="0" w:color="000000"/>
              <w:right w:val="single" w:sz="8"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818" w:type="dxa"/>
            <w:tcBorders>
              <w:top w:val="nil"/>
              <w:left w:val="nil"/>
              <w:bottom w:val="single" w:sz="8" w:space="0" w:color="auto"/>
              <w:right w:val="single" w:sz="8" w:space="0" w:color="auto"/>
            </w:tcBorders>
            <w:shd w:val="clear" w:color="000000" w:fill="16365C"/>
            <w:vAlign w:val="center"/>
            <w:hideMark/>
          </w:tcPr>
          <w:p w:rsidR="008047A3" w:rsidRPr="000E1F8A" w:rsidRDefault="008047A3" w:rsidP="008047A3">
            <w:pPr>
              <w:jc w:val="center"/>
              <w:rPr>
                <w:rFonts w:ascii="Barlow" w:eastAsia="Times New Roman" w:hAnsi="Barlow" w:cs="Calibri"/>
                <w:b/>
                <w:bCs/>
                <w:color w:val="FFFFFF"/>
                <w:sz w:val="18"/>
                <w:szCs w:val="18"/>
                <w:lang w:eastAsia="es-MX"/>
              </w:rPr>
            </w:pPr>
            <w:r w:rsidRPr="000E1F8A">
              <w:rPr>
                <w:rFonts w:ascii="Barlow" w:eastAsia="Times New Roman" w:hAnsi="Barlow" w:cs="Calibri"/>
                <w:b/>
                <w:bCs/>
                <w:color w:val="FFFFFF"/>
                <w:sz w:val="18"/>
                <w:szCs w:val="18"/>
                <w:lang w:eastAsia="es-MX"/>
              </w:rPr>
              <w:t xml:space="preserve"> (m = g – l)</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i/>
                <w:iCs/>
                <w:color w:val="000000"/>
                <w:lang w:eastAsia="es-MX"/>
              </w:rPr>
            </w:pPr>
            <w:r w:rsidRPr="00FA1984">
              <w:rPr>
                <w:rFonts w:ascii="Barlow" w:eastAsia="Times New Roman" w:hAnsi="Barlow" w:cs="Calibri"/>
                <w:b/>
                <w:bCs/>
                <w:i/>
                <w:i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both"/>
              <w:rPr>
                <w:rFonts w:ascii="Barlow" w:eastAsia="Times New Roman" w:hAnsi="Barlow" w:cs="Calibri"/>
                <w:b/>
                <w:bCs/>
                <w:i/>
                <w:iCs/>
                <w:color w:val="000000"/>
                <w:sz w:val="18"/>
                <w:szCs w:val="18"/>
                <w:lang w:eastAsia="es-MX"/>
              </w:rPr>
            </w:pPr>
            <w:r w:rsidRPr="000E1F8A">
              <w:rPr>
                <w:rFonts w:ascii="Barlow" w:eastAsia="Times New Roman" w:hAnsi="Barlow" w:cs="Calibri"/>
                <w:b/>
                <w:bCs/>
                <w:i/>
                <w:iCs/>
                <w:color w:val="000000"/>
                <w:sz w:val="18"/>
                <w:szCs w:val="18"/>
                <w:lang w:eastAsia="es-MX"/>
              </w:rPr>
              <w:t> </w:t>
            </w:r>
          </w:p>
        </w:tc>
      </w:tr>
      <w:tr w:rsidR="008047A3" w:rsidRPr="000E1F8A" w:rsidTr="008047A3">
        <w:trPr>
          <w:trHeight w:val="418"/>
        </w:trPr>
        <w:tc>
          <w:tcPr>
            <w:tcW w:w="1309" w:type="dxa"/>
            <w:tcBorders>
              <w:top w:val="nil"/>
              <w:left w:val="single" w:sz="8" w:space="0" w:color="auto"/>
              <w:bottom w:val="nil"/>
              <w:right w:val="single" w:sz="8" w:space="0" w:color="auto"/>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A. Asociaciones Público Privadas (APP’s) </w:t>
            </w:r>
            <w:r w:rsidRPr="00FA1984">
              <w:rPr>
                <w:rFonts w:ascii="Barlow" w:eastAsia="Times New Roman" w:hAnsi="Barlow" w:cs="Calibri"/>
                <w:b/>
                <w:bCs/>
                <w:color w:val="000000"/>
                <w:lang w:eastAsia="es-MX"/>
              </w:rPr>
              <w:lastRenderedPageBreak/>
              <w:t>(A=a+b+c+d)</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 </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770,425,594.0 </w:t>
            </w:r>
          </w:p>
        </w:tc>
        <w:tc>
          <w:tcPr>
            <w:tcW w:w="60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20,909,885.0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72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81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818" w:type="dxa"/>
            <w:tcBorders>
              <w:top w:val="nil"/>
              <w:left w:val="nil"/>
              <w:bottom w:val="nil"/>
              <w:right w:val="single" w:sz="8" w:space="0" w:color="auto"/>
            </w:tcBorders>
            <w:shd w:val="clear" w:color="000000" w:fill="F2F2F2"/>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xml:space="preserve">        770,425,594.0 </w:t>
            </w:r>
          </w:p>
        </w:tc>
      </w:tr>
      <w:tr w:rsidR="008047A3" w:rsidRPr="000E1F8A" w:rsidTr="008047A3">
        <w:trPr>
          <w:trHeight w:val="439"/>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xml:space="preserve">        a) Gran Museo del Mundo Maya</w:t>
            </w:r>
            <w:r w:rsidRPr="00FA1984">
              <w:rPr>
                <w:rFonts w:ascii="Barlow" w:eastAsia="Times New Roman" w:hAnsi="Barlow" w:cs="Calibri"/>
                <w:color w:val="000000"/>
                <w:vertAlign w:val="superscript"/>
                <w:lang w:eastAsia="es-MX"/>
              </w:rPr>
              <w:t>1</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01/09/2012</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01/09/2012</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31/08/2033</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770,425,594.0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21 años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20,909,885.0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ND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ND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 xml:space="preserve">  ND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color w:val="000000"/>
                <w:sz w:val="18"/>
                <w:szCs w:val="18"/>
                <w:lang w:eastAsia="es-MX"/>
              </w:rPr>
            </w:pPr>
            <w:r w:rsidRPr="000E1F8A">
              <w:rPr>
                <w:rFonts w:ascii="Barlow" w:eastAsia="Times New Roman" w:hAnsi="Barlow" w:cs="Calibri"/>
                <w:color w:val="000000"/>
                <w:sz w:val="18"/>
                <w:szCs w:val="18"/>
                <w:lang w:eastAsia="es-MX"/>
              </w:rPr>
              <w:t xml:space="preserve">          770,425,594.0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418"/>
        </w:trPr>
        <w:tc>
          <w:tcPr>
            <w:tcW w:w="1309" w:type="dxa"/>
            <w:tcBorders>
              <w:top w:val="nil"/>
              <w:left w:val="single" w:sz="8" w:space="0" w:color="auto"/>
              <w:bottom w:val="nil"/>
              <w:right w:val="single" w:sz="8" w:space="0" w:color="auto"/>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B. Otros Instrumentos (B=a+b+c+d)</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60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72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81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   </w:t>
            </w:r>
          </w:p>
        </w:tc>
        <w:tc>
          <w:tcPr>
            <w:tcW w:w="818" w:type="dxa"/>
            <w:tcBorders>
              <w:top w:val="nil"/>
              <w:left w:val="nil"/>
              <w:bottom w:val="nil"/>
              <w:right w:val="single" w:sz="8" w:space="0" w:color="auto"/>
            </w:tcBorders>
            <w:shd w:val="clear" w:color="000000" w:fill="F2F2F2"/>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xml:space="preserve">                                   -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a) Otro Instrumento 1</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b) Otro Instrumento 2</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c) Otro Instrumento 3</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ind w:firstLineChars="100" w:firstLine="240"/>
              <w:rPr>
                <w:rFonts w:ascii="Barlow" w:eastAsia="Times New Roman" w:hAnsi="Barlow" w:cs="Calibri"/>
                <w:color w:val="000000"/>
                <w:lang w:eastAsia="es-MX"/>
              </w:rPr>
            </w:pPr>
            <w:r w:rsidRPr="00FA1984">
              <w:rPr>
                <w:rFonts w:ascii="Barlow" w:eastAsia="Times New Roman" w:hAnsi="Barlow" w:cs="Calibri"/>
                <w:color w:val="000000"/>
                <w:lang w:eastAsia="es-MX"/>
              </w:rPr>
              <w:t>d) Otro Instrumento XX</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208"/>
        </w:trPr>
        <w:tc>
          <w:tcPr>
            <w:tcW w:w="1309" w:type="dxa"/>
            <w:tcBorders>
              <w:top w:val="nil"/>
              <w:left w:val="single" w:sz="8" w:space="0" w:color="auto"/>
              <w:bottom w:val="nil"/>
              <w:right w:val="single" w:sz="8" w:space="0" w:color="auto"/>
            </w:tcBorders>
            <w:shd w:val="clear" w:color="auto" w:fill="auto"/>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nil"/>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nil"/>
              <w:right w:val="single" w:sz="8" w:space="0" w:color="auto"/>
            </w:tcBorders>
            <w:shd w:val="clear" w:color="auto" w:fill="auto"/>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w:t>
            </w:r>
          </w:p>
        </w:tc>
      </w:tr>
      <w:tr w:rsidR="008047A3" w:rsidRPr="000E1F8A" w:rsidTr="008047A3">
        <w:trPr>
          <w:trHeight w:val="629"/>
        </w:trPr>
        <w:tc>
          <w:tcPr>
            <w:tcW w:w="1309" w:type="dxa"/>
            <w:tcBorders>
              <w:top w:val="nil"/>
              <w:left w:val="single" w:sz="8" w:space="0" w:color="auto"/>
              <w:bottom w:val="nil"/>
              <w:right w:val="single" w:sz="8" w:space="0" w:color="auto"/>
            </w:tcBorders>
            <w:shd w:val="clear" w:color="000000" w:fill="F2F2F2"/>
            <w:vAlign w:val="center"/>
            <w:hideMark/>
          </w:tcPr>
          <w:p w:rsidR="008047A3" w:rsidRPr="00FA1984" w:rsidRDefault="008047A3" w:rsidP="008047A3">
            <w:pP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C. Total de Obligaciones Diferentes de Financiami</w:t>
            </w:r>
            <w:r w:rsidRPr="00FA1984">
              <w:rPr>
                <w:rFonts w:ascii="Barlow" w:eastAsia="Times New Roman" w:hAnsi="Barlow" w:cs="Calibri"/>
                <w:b/>
                <w:bCs/>
                <w:color w:val="000000"/>
                <w:lang w:eastAsia="es-MX"/>
              </w:rPr>
              <w:lastRenderedPageBreak/>
              <w:t>ento (C=A+B)</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lastRenderedPageBreak/>
              <w:t> </w:t>
            </w:r>
          </w:p>
        </w:tc>
        <w:tc>
          <w:tcPr>
            <w:tcW w:w="829"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nil"/>
              <w:right w:val="single" w:sz="8" w:space="0" w:color="auto"/>
            </w:tcBorders>
            <w:shd w:val="clear" w:color="000000" w:fill="F2F2F2"/>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770,425,594.0 </w:t>
            </w:r>
          </w:p>
        </w:tc>
        <w:tc>
          <w:tcPr>
            <w:tcW w:w="605"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right"/>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20,909,885.0 </w:t>
            </w:r>
          </w:p>
        </w:tc>
        <w:tc>
          <w:tcPr>
            <w:tcW w:w="1164" w:type="dxa"/>
            <w:tcBorders>
              <w:top w:val="nil"/>
              <w:left w:val="nil"/>
              <w:bottom w:val="nil"/>
              <w:right w:val="single" w:sz="8" w:space="0" w:color="auto"/>
            </w:tcBorders>
            <w:shd w:val="clear" w:color="000000" w:fill="F2F2F2"/>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ND  </w:t>
            </w:r>
          </w:p>
        </w:tc>
        <w:tc>
          <w:tcPr>
            <w:tcW w:w="725" w:type="dxa"/>
            <w:tcBorders>
              <w:top w:val="nil"/>
              <w:left w:val="nil"/>
              <w:bottom w:val="nil"/>
              <w:right w:val="single" w:sz="8" w:space="0" w:color="auto"/>
            </w:tcBorders>
            <w:shd w:val="clear" w:color="000000" w:fill="F2F2F2"/>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ND  </w:t>
            </w:r>
          </w:p>
        </w:tc>
        <w:tc>
          <w:tcPr>
            <w:tcW w:w="814" w:type="dxa"/>
            <w:tcBorders>
              <w:top w:val="nil"/>
              <w:left w:val="nil"/>
              <w:bottom w:val="nil"/>
              <w:right w:val="single" w:sz="8" w:space="0" w:color="auto"/>
            </w:tcBorders>
            <w:shd w:val="clear" w:color="000000" w:fill="F2F2F2"/>
            <w:vAlign w:val="center"/>
            <w:hideMark/>
          </w:tcPr>
          <w:p w:rsidR="008047A3" w:rsidRPr="00FA1984" w:rsidRDefault="008047A3" w:rsidP="008047A3">
            <w:pPr>
              <w:jc w:val="center"/>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xml:space="preserve">  ND  </w:t>
            </w:r>
          </w:p>
        </w:tc>
        <w:tc>
          <w:tcPr>
            <w:tcW w:w="818" w:type="dxa"/>
            <w:tcBorders>
              <w:top w:val="nil"/>
              <w:left w:val="nil"/>
              <w:bottom w:val="nil"/>
              <w:right w:val="single" w:sz="8" w:space="0" w:color="auto"/>
            </w:tcBorders>
            <w:shd w:val="clear" w:color="000000" w:fill="F2F2F2"/>
            <w:vAlign w:val="center"/>
            <w:hideMark/>
          </w:tcPr>
          <w:p w:rsidR="008047A3" w:rsidRPr="000E1F8A" w:rsidRDefault="008047A3" w:rsidP="008047A3">
            <w:pPr>
              <w:jc w:val="right"/>
              <w:rPr>
                <w:rFonts w:ascii="Barlow" w:eastAsia="Times New Roman" w:hAnsi="Barlow" w:cs="Calibri"/>
                <w:b/>
                <w:bCs/>
                <w:color w:val="000000"/>
                <w:sz w:val="18"/>
                <w:szCs w:val="18"/>
                <w:lang w:eastAsia="es-MX"/>
              </w:rPr>
            </w:pPr>
            <w:r w:rsidRPr="000E1F8A">
              <w:rPr>
                <w:rFonts w:ascii="Barlow" w:eastAsia="Times New Roman" w:hAnsi="Barlow" w:cs="Calibri"/>
                <w:b/>
                <w:bCs/>
                <w:color w:val="000000"/>
                <w:sz w:val="18"/>
                <w:szCs w:val="18"/>
                <w:lang w:eastAsia="es-MX"/>
              </w:rPr>
              <w:t xml:space="preserve">        770,425,594.0 </w:t>
            </w:r>
          </w:p>
        </w:tc>
      </w:tr>
      <w:tr w:rsidR="008047A3" w:rsidRPr="00FA1984" w:rsidTr="008047A3">
        <w:trPr>
          <w:trHeight w:val="219"/>
        </w:trPr>
        <w:tc>
          <w:tcPr>
            <w:tcW w:w="1309" w:type="dxa"/>
            <w:tcBorders>
              <w:top w:val="nil"/>
              <w:left w:val="single" w:sz="8" w:space="0" w:color="auto"/>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 </w:t>
            </w:r>
          </w:p>
        </w:tc>
        <w:tc>
          <w:tcPr>
            <w:tcW w:w="829"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29"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77"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985"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605"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1164"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725"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4"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c>
          <w:tcPr>
            <w:tcW w:w="818" w:type="dxa"/>
            <w:tcBorders>
              <w:top w:val="nil"/>
              <w:left w:val="nil"/>
              <w:bottom w:val="single" w:sz="8" w:space="0" w:color="auto"/>
              <w:right w:val="single" w:sz="8" w:space="0" w:color="auto"/>
            </w:tcBorders>
            <w:shd w:val="clear" w:color="auto" w:fill="auto"/>
            <w:vAlign w:val="center"/>
            <w:hideMark/>
          </w:tcPr>
          <w:p w:rsidR="008047A3" w:rsidRPr="00FA1984" w:rsidRDefault="008047A3" w:rsidP="008047A3">
            <w:pPr>
              <w:jc w:val="both"/>
              <w:rPr>
                <w:rFonts w:ascii="Barlow" w:eastAsia="Times New Roman" w:hAnsi="Barlow" w:cs="Calibri"/>
                <w:b/>
                <w:bCs/>
                <w:color w:val="000000"/>
                <w:lang w:eastAsia="es-MX"/>
              </w:rPr>
            </w:pPr>
            <w:r w:rsidRPr="00FA1984">
              <w:rPr>
                <w:rFonts w:ascii="Barlow" w:eastAsia="Times New Roman" w:hAnsi="Barlow" w:cs="Calibri"/>
                <w:b/>
                <w:bCs/>
                <w:color w:val="000000"/>
                <w:lang w:eastAsia="es-MX"/>
              </w:rPr>
              <w:t> </w:t>
            </w:r>
          </w:p>
        </w:tc>
      </w:tr>
    </w:tbl>
    <w:p w:rsidR="008047A3" w:rsidRDefault="008047A3" w:rsidP="008047A3">
      <w:pPr>
        <w:rPr>
          <w:rFonts w:ascii="Barlow" w:hAnsi="Barlow"/>
        </w:rPr>
      </w:pPr>
    </w:p>
    <w:p w:rsidR="008047A3" w:rsidRDefault="008047A3" w:rsidP="008047A3">
      <w:pPr>
        <w:rPr>
          <w:rFonts w:ascii="Barlow" w:hAnsi="Barlow"/>
        </w:rPr>
      </w:pPr>
    </w:p>
    <w:p w:rsidR="00ED3E20" w:rsidRDefault="00E22205">
      <w:pPr>
        <w:rPr>
          <w:rFonts w:ascii="Barlow" w:hAnsi="Barlow"/>
        </w:rPr>
      </w:pPr>
      <w:r w:rsidRPr="007E0A32">
        <w:rPr>
          <w:rFonts w:ascii="Barlow Medium" w:eastAsiaTheme="minorHAnsi" w:hAnsi="Barlow Medium" w:cs="Arial"/>
          <w:noProof/>
          <w:color w:val="000000"/>
          <w:lang w:val="es-ES" w:eastAsia="en-US"/>
        </w:rPr>
        <w:object w:dxaOrig="23820" w:dyaOrig="9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81.65pt;height:259.95pt;mso-width-percent:0;mso-height-percent:0;mso-width-percent:0;mso-height-percent:0" o:ole="">
            <v:imagedata r:id="rId29" o:title=""/>
          </v:shape>
          <o:OLEObject Type="Embed" ProgID="Excel.Sheet.12" ShapeID="_x0000_i1025" DrawAspect="Content" ObjectID="_1606824131" r:id="rId30"/>
        </w:object>
      </w:r>
      <w:r w:rsidR="00ED3E20">
        <w:rPr>
          <w:rFonts w:ascii="Barlow" w:hAnsi="Barlow"/>
        </w:rPr>
        <w:br w:type="page"/>
      </w:r>
    </w:p>
    <w:p w:rsidR="00ED3E20" w:rsidRDefault="00ED3E20"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Default="008047A3" w:rsidP="008047A3">
      <w:pPr>
        <w:rPr>
          <w:rFonts w:ascii="Barlow" w:hAnsi="Barlow"/>
        </w:rPr>
      </w:pPr>
    </w:p>
    <w:p w:rsidR="008047A3" w:rsidRPr="00ED3E20" w:rsidRDefault="00ED3E20" w:rsidP="00ED3E20">
      <w:pPr>
        <w:jc w:val="center"/>
        <w:rPr>
          <w:rFonts w:ascii="Barlow" w:hAnsi="Barlow"/>
          <w:b/>
        </w:rPr>
      </w:pPr>
      <w:r w:rsidRPr="00ED3E20">
        <w:rPr>
          <w:rFonts w:ascii="Barlow" w:hAnsi="Barlow"/>
          <w:b/>
        </w:rPr>
        <w:t>Anexo 19 Cuentas Bancarias Productivas</w:t>
      </w:r>
    </w:p>
    <w:p w:rsidR="008047A3" w:rsidRPr="00FA1984" w:rsidRDefault="008047A3" w:rsidP="008047A3">
      <w:pPr>
        <w:rPr>
          <w:rFonts w:ascii="Barlow" w:hAnsi="Barlow"/>
        </w:rPr>
      </w:pPr>
    </w:p>
    <w:tbl>
      <w:tblPr>
        <w:tblW w:w="13460" w:type="dxa"/>
        <w:tblCellMar>
          <w:left w:w="70" w:type="dxa"/>
          <w:right w:w="70" w:type="dxa"/>
        </w:tblCellMar>
        <w:tblLook w:val="04A0"/>
      </w:tblPr>
      <w:tblGrid>
        <w:gridCol w:w="7340"/>
        <w:gridCol w:w="3060"/>
        <w:gridCol w:w="3060"/>
      </w:tblGrid>
      <w:tr w:rsidR="008047A3" w:rsidRPr="00FA1984" w:rsidTr="008047A3">
        <w:trPr>
          <w:trHeight w:val="615"/>
        </w:trPr>
        <w:tc>
          <w:tcPr>
            <w:tcW w:w="7340" w:type="dxa"/>
            <w:vMerge w:val="restart"/>
            <w:tcBorders>
              <w:top w:val="single" w:sz="4" w:space="0" w:color="auto"/>
              <w:left w:val="single" w:sz="4" w:space="0" w:color="auto"/>
              <w:bottom w:val="single" w:sz="4" w:space="0" w:color="auto"/>
              <w:right w:val="single" w:sz="4" w:space="0" w:color="auto"/>
            </w:tcBorders>
            <w:shd w:val="clear" w:color="000000" w:fill="366092"/>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FONDO, PROGRAMA O CONVENIO</w:t>
            </w:r>
          </w:p>
        </w:tc>
        <w:tc>
          <w:tcPr>
            <w:tcW w:w="6120" w:type="dxa"/>
            <w:gridSpan w:val="2"/>
            <w:tcBorders>
              <w:top w:val="single" w:sz="4" w:space="0" w:color="auto"/>
              <w:left w:val="nil"/>
              <w:bottom w:val="single" w:sz="4" w:space="0" w:color="auto"/>
              <w:right w:val="single" w:sz="4" w:space="0" w:color="auto"/>
            </w:tcBorders>
            <w:shd w:val="clear" w:color="000000" w:fill="366092"/>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DATOS DE LA CUENTA BANCARIA</w:t>
            </w:r>
          </w:p>
        </w:tc>
      </w:tr>
      <w:tr w:rsidR="008047A3" w:rsidRPr="00FA1984" w:rsidTr="008047A3">
        <w:trPr>
          <w:trHeight w:val="615"/>
        </w:trPr>
        <w:tc>
          <w:tcPr>
            <w:tcW w:w="7340" w:type="dxa"/>
            <w:vMerge/>
            <w:tcBorders>
              <w:top w:val="single" w:sz="4" w:space="0" w:color="auto"/>
              <w:left w:val="single" w:sz="4" w:space="0" w:color="auto"/>
              <w:bottom w:val="single" w:sz="4" w:space="0" w:color="auto"/>
              <w:right w:val="single" w:sz="4" w:space="0" w:color="auto"/>
            </w:tcBorders>
            <w:vAlign w:val="center"/>
            <w:hideMark/>
          </w:tcPr>
          <w:p w:rsidR="008047A3" w:rsidRPr="00FA1984" w:rsidRDefault="008047A3" w:rsidP="008047A3">
            <w:pPr>
              <w:rPr>
                <w:rFonts w:ascii="Barlow" w:eastAsia="Times New Roman" w:hAnsi="Barlow" w:cs="Calibri"/>
                <w:b/>
                <w:bCs/>
                <w:color w:val="FFFFFF"/>
                <w:lang w:eastAsia="es-MX"/>
              </w:rPr>
            </w:pPr>
          </w:p>
        </w:tc>
        <w:tc>
          <w:tcPr>
            <w:tcW w:w="3060" w:type="dxa"/>
            <w:tcBorders>
              <w:top w:val="nil"/>
              <w:left w:val="nil"/>
              <w:bottom w:val="single" w:sz="4" w:space="0" w:color="auto"/>
              <w:right w:val="single" w:sz="4" w:space="0" w:color="auto"/>
            </w:tcBorders>
            <w:shd w:val="clear" w:color="000000" w:fill="366092"/>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INSTITUTIÓN BANCARIA</w:t>
            </w:r>
          </w:p>
        </w:tc>
        <w:tc>
          <w:tcPr>
            <w:tcW w:w="3060" w:type="dxa"/>
            <w:tcBorders>
              <w:top w:val="nil"/>
              <w:left w:val="nil"/>
              <w:bottom w:val="single" w:sz="4" w:space="0" w:color="auto"/>
              <w:right w:val="single" w:sz="4" w:space="0" w:color="auto"/>
            </w:tcBorders>
            <w:shd w:val="clear" w:color="000000" w:fill="366092"/>
            <w:vAlign w:val="center"/>
            <w:hideMark/>
          </w:tcPr>
          <w:p w:rsidR="008047A3" w:rsidRPr="00FA1984" w:rsidRDefault="008047A3" w:rsidP="008047A3">
            <w:pPr>
              <w:jc w:val="center"/>
              <w:rPr>
                <w:rFonts w:ascii="Barlow" w:eastAsia="Times New Roman" w:hAnsi="Barlow" w:cs="Calibri"/>
                <w:b/>
                <w:bCs/>
                <w:color w:val="FFFFFF"/>
                <w:lang w:eastAsia="es-MX"/>
              </w:rPr>
            </w:pPr>
            <w:r w:rsidRPr="00FA1984">
              <w:rPr>
                <w:rFonts w:ascii="Barlow" w:eastAsia="Times New Roman" w:hAnsi="Barlow" w:cs="Calibri"/>
                <w:b/>
                <w:bCs/>
                <w:color w:val="FFFFFF"/>
                <w:lang w:eastAsia="es-MX"/>
              </w:rPr>
              <w:t>NUMERO DE CUENTA</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EL FORTALECIMIENTO DE LAS ENTIDADES FEDERATIVAS  (FAFEF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1009562007</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INFRAESTRUCTURA  SOCIAL PARA LAS ENTIDADES (FISE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1009562016</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INFRAESTRUCTURA SOCIAL MUNICIPAL Y DE LAS DEMARCACIONES TERRITORIALES DEL DISTRITO FEDERAL (FISMDF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1009562025</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EL FORTALECIMIENTO DE LOS MUNICIPIOS Y DEMARCACIONES TERRITORIALES DEL DISTRITO FEDERAL  (FORTAMUN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1009562034</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MULTIPLES  (FAM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1009562043</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EDUCACION TECNOLOGICA Y DE ADULTOS  (FAETA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112469189</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lastRenderedPageBreak/>
              <w:t>FONDO DE APORTACIONES PARA LOS SERVICIOS DE SALUD  (FASSA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112469138</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SEGURIDAD PUBLICA DE LOS ESTADOS Y DEL DISTRITO FEDERAL (FASP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112469162</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NOMINA EDUCATIVA Y GASTO OPERATIVO (FONE GASTO DE OPERACIÓN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112464942</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NOMINA EDUCATIVA Y GASTO OPERATIVO  (FONE FONDO DE COMPENSACION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112464926</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FONDO DE APORTACIONES PARA LA NOMINA EDUCATIVA Y GASTO OPERATIVO (FONE OTROS DE GASTO CORRIENTE 2019)</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BBVA BANCOMER</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112464950</w:t>
            </w:r>
          </w:p>
        </w:tc>
      </w:tr>
      <w:tr w:rsidR="008047A3" w:rsidRPr="00FA1984" w:rsidTr="008047A3">
        <w:trPr>
          <w:trHeight w:val="900"/>
        </w:trPr>
        <w:tc>
          <w:tcPr>
            <w:tcW w:w="7340" w:type="dxa"/>
            <w:tcBorders>
              <w:top w:val="nil"/>
              <w:left w:val="single" w:sz="4" w:space="0" w:color="auto"/>
              <w:bottom w:val="single" w:sz="4" w:space="0" w:color="auto"/>
              <w:right w:val="single" w:sz="4" w:space="0" w:color="auto"/>
            </w:tcBorders>
            <w:shd w:val="clear" w:color="000000" w:fill="DCE6F1"/>
            <w:vAlign w:val="center"/>
            <w:hideMark/>
          </w:tcPr>
          <w:p w:rsidR="008047A3" w:rsidRPr="00FA1984" w:rsidRDefault="008047A3" w:rsidP="008047A3">
            <w:pPr>
              <w:rPr>
                <w:rFonts w:ascii="Barlow" w:eastAsia="Times New Roman" w:hAnsi="Barlow" w:cs="Calibri"/>
                <w:color w:val="000000"/>
                <w:lang w:eastAsia="es-MX"/>
              </w:rPr>
            </w:pPr>
            <w:r w:rsidRPr="00FA1984">
              <w:rPr>
                <w:rFonts w:ascii="Barlow" w:eastAsia="Times New Roman" w:hAnsi="Barlow" w:cs="Calibri"/>
                <w:color w:val="000000"/>
                <w:lang w:eastAsia="es-MX"/>
              </w:rPr>
              <w:t>PATRICIPACIONES 2019 (RAMO 28)</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BANORTE</w:t>
            </w:r>
          </w:p>
        </w:tc>
        <w:tc>
          <w:tcPr>
            <w:tcW w:w="3060" w:type="dxa"/>
            <w:tcBorders>
              <w:top w:val="nil"/>
              <w:left w:val="nil"/>
              <w:bottom w:val="single" w:sz="4" w:space="0" w:color="auto"/>
              <w:right w:val="single" w:sz="4" w:space="0" w:color="auto"/>
            </w:tcBorders>
            <w:shd w:val="clear" w:color="000000" w:fill="DCE6F1"/>
            <w:vAlign w:val="center"/>
            <w:hideMark/>
          </w:tcPr>
          <w:p w:rsidR="008047A3" w:rsidRPr="00FA1984" w:rsidRDefault="008047A3" w:rsidP="008047A3">
            <w:pPr>
              <w:jc w:val="center"/>
              <w:rPr>
                <w:rFonts w:ascii="Barlow" w:eastAsia="Times New Roman" w:hAnsi="Barlow" w:cs="Calibri"/>
                <w:color w:val="000000"/>
                <w:lang w:eastAsia="es-MX"/>
              </w:rPr>
            </w:pPr>
            <w:r w:rsidRPr="00FA1984">
              <w:rPr>
                <w:rFonts w:ascii="Barlow" w:eastAsia="Times New Roman" w:hAnsi="Barlow" w:cs="Calibri"/>
                <w:color w:val="000000"/>
                <w:lang w:eastAsia="es-MX"/>
              </w:rPr>
              <w:t>1009562089</w:t>
            </w:r>
          </w:p>
        </w:tc>
      </w:tr>
    </w:tbl>
    <w:p w:rsidR="008047A3" w:rsidRPr="00FA1984" w:rsidRDefault="008047A3" w:rsidP="008047A3">
      <w:pPr>
        <w:rPr>
          <w:rFonts w:ascii="Barlow" w:hAnsi="Barlow"/>
        </w:rPr>
      </w:pPr>
    </w:p>
    <w:sectPr w:rsidR="008047A3" w:rsidRPr="00FA1984" w:rsidSect="008047A3">
      <w:pgSz w:w="15840" w:h="12240" w:orient="landscape"/>
      <w:pgMar w:top="1168" w:right="1869" w:bottom="1168" w:left="1588" w:header="0" w:footer="124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75A4" w:rsidRDefault="007275A4" w:rsidP="009E7CE6">
      <w:r>
        <w:separator/>
      </w:r>
    </w:p>
  </w:endnote>
  <w:endnote w:type="continuationSeparator" w:id="0">
    <w:p w:rsidR="007275A4" w:rsidRDefault="007275A4" w:rsidP="009E7CE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swiss"/>
    <w:pitch w:val="variable"/>
    <w:sig w:usb0="E1000AEF" w:usb1="5000A1FF" w:usb2="00000000" w:usb3="00000000" w:csb0="000001BF" w:csb1="00000000"/>
  </w:font>
  <w:font w:name="Soberana Titular">
    <w:altName w:val="Cambria"/>
    <w:charset w:val="4D"/>
    <w:family w:val="auto"/>
    <w:pitch w:val="variable"/>
    <w:sig w:usb0="800000AF" w:usb1="4000204A" w:usb2="00000000" w:usb3="00000000" w:csb0="00000001" w:csb1="00000000"/>
  </w:font>
  <w:font w:name="Barlow">
    <w:altName w:val="Calibri"/>
    <w:panose1 w:val="00000500000000000000"/>
    <w:charset w:val="00"/>
    <w:family w:val="auto"/>
    <w:pitch w:val="variable"/>
    <w:sig w:usb0="00000007" w:usb1="00000000" w:usb2="00000000" w:usb3="00000000" w:csb0="00000093" w:csb1="00000000"/>
  </w:font>
  <w:font w:name="Barlow Medium">
    <w:altName w:val="Cambria"/>
    <w:panose1 w:val="00000600000000000000"/>
    <w:charset w:val="00"/>
    <w:family w:val="auto"/>
    <w:pitch w:val="variable"/>
    <w:sig w:usb0="00000007" w:usb1="00000000" w:usb2="00000000" w:usb3="00000000" w:csb0="00000093" w:csb1="00000000"/>
  </w:font>
  <w:font w:name="Barlow Light">
    <w:panose1 w:val="00000400000000000000"/>
    <w:charset w:val="00"/>
    <w:family w:val="auto"/>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7E0A32">
    <w:pPr>
      <w:pStyle w:val="Piedepgina"/>
    </w:pPr>
    <w:sdt>
      <w:sdtPr>
        <w:id w:val="-1385565684"/>
        <w:placeholder>
          <w:docPart w:val="60D6B8F67FE97543B83CF529CDA6D00E"/>
        </w:placeholder>
        <w:temporary/>
        <w:showingPlcHdr/>
      </w:sdtPr>
      <w:sdtContent>
        <w:r w:rsidR="008047A3">
          <w:rPr>
            <w:lang w:val="es-ES"/>
          </w:rPr>
          <w:t>[Escriba texto]</w:t>
        </w:r>
      </w:sdtContent>
    </w:sdt>
    <w:r w:rsidR="008047A3">
      <w:ptab w:relativeTo="margin" w:alignment="center" w:leader="none"/>
    </w:r>
    <w:sdt>
      <w:sdtPr>
        <w:id w:val="918524677"/>
        <w:placeholder>
          <w:docPart w:val="76399368C531AE4CBFA6BA9B6490A284"/>
        </w:placeholder>
        <w:temporary/>
        <w:showingPlcHdr/>
      </w:sdtPr>
      <w:sdtContent>
        <w:r w:rsidR="008047A3">
          <w:rPr>
            <w:lang w:val="es-ES"/>
          </w:rPr>
          <w:t>[Escriba texto]</w:t>
        </w:r>
      </w:sdtContent>
    </w:sdt>
    <w:r w:rsidR="008047A3">
      <w:ptab w:relativeTo="margin" w:alignment="right" w:leader="none"/>
    </w:r>
    <w:sdt>
      <w:sdtPr>
        <w:id w:val="-2057305158"/>
        <w:placeholder>
          <w:docPart w:val="0CAE6E5861A48C448E2C870FDBA50025"/>
        </w:placeholder>
        <w:temporary/>
        <w:showingPlcHdr/>
      </w:sdtPr>
      <w:sdtContent>
        <w:r w:rsidR="008047A3">
          <w:rPr>
            <w:lang w:val="es-ES"/>
          </w:rPr>
          <w:t>[Escriba texto]</w:t>
        </w:r>
      </w:sdtContent>
    </w:sdt>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2"/>
        <w:szCs w:val="21"/>
      </w:rPr>
      <w:id w:val="1189488275"/>
      <w:docPartObj>
        <w:docPartGallery w:val="Page Numbers (Bottom of Page)"/>
        <w:docPartUnique/>
      </w:docPartObj>
    </w:sdtPr>
    <w:sdtEndPr>
      <w:rPr>
        <w:rFonts w:asciiTheme="majorHAnsi" w:eastAsiaTheme="majorEastAsia" w:hAnsiTheme="majorHAnsi" w:cstheme="majorBidi"/>
        <w:sz w:val="32"/>
        <w:szCs w:val="40"/>
      </w:rPr>
    </w:sdtEndPr>
    <w:sdtContent>
      <w:p w:rsidR="008047A3" w:rsidRDefault="007E0A32">
        <w:pPr>
          <w:pStyle w:val="Piedepgina"/>
          <w:jc w:val="right"/>
          <w:rPr>
            <w:rFonts w:asciiTheme="majorHAnsi" w:eastAsiaTheme="majorEastAsia" w:hAnsiTheme="majorHAnsi" w:cstheme="majorBidi"/>
            <w:color w:val="4A66AC" w:themeColor="accent1"/>
            <w:sz w:val="40"/>
            <w:szCs w:val="40"/>
          </w:rPr>
        </w:pPr>
        <w:r w:rsidRPr="007E0A32">
          <w:rPr>
            <w:sz w:val="22"/>
            <w:szCs w:val="21"/>
          </w:rPr>
          <w:fldChar w:fldCharType="begin"/>
        </w:r>
        <w:r w:rsidR="008047A3">
          <w:instrText>PAGE   \* MERGEFORMAT</w:instrText>
        </w:r>
        <w:r w:rsidRPr="007E0A32">
          <w:rPr>
            <w:sz w:val="22"/>
            <w:szCs w:val="21"/>
          </w:rPr>
          <w:fldChar w:fldCharType="separate"/>
        </w:r>
        <w:r w:rsidR="00484F7F" w:rsidRPr="00484F7F">
          <w:rPr>
            <w:rFonts w:asciiTheme="majorHAnsi" w:eastAsiaTheme="majorEastAsia" w:hAnsiTheme="majorHAnsi" w:cstheme="majorBidi"/>
            <w:noProof/>
            <w:color w:val="4A66AC" w:themeColor="accent1"/>
            <w:sz w:val="40"/>
            <w:szCs w:val="40"/>
            <w:lang w:val="es-ES"/>
          </w:rPr>
          <w:t>2</w:t>
        </w:r>
        <w:r>
          <w:rPr>
            <w:rFonts w:asciiTheme="majorHAnsi" w:eastAsiaTheme="majorEastAsia" w:hAnsiTheme="majorHAnsi" w:cstheme="majorBidi"/>
            <w:color w:val="4A66AC" w:themeColor="accent1"/>
            <w:sz w:val="40"/>
            <w:szCs w:val="40"/>
          </w:rPr>
          <w:fldChar w:fldCharType="end"/>
        </w:r>
      </w:p>
    </w:sdtContent>
  </w:sdt>
  <w:p w:rsidR="008047A3" w:rsidRDefault="008047A3">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7E0A32">
    <w:pPr>
      <w:pStyle w:val="Piedepgina"/>
    </w:pPr>
    <w:sdt>
      <w:sdtPr>
        <w:id w:val="1708918025"/>
        <w:placeholder>
          <w:docPart w:val="60D6B8F67FE97543B83CF529CDA6D00E"/>
        </w:placeholder>
        <w:temporary/>
        <w:showingPlcHdr/>
      </w:sdtPr>
      <w:sdtContent>
        <w:r w:rsidR="008047A3">
          <w:rPr>
            <w:lang w:val="es-ES"/>
          </w:rPr>
          <w:t>[Escriba texto]</w:t>
        </w:r>
      </w:sdtContent>
    </w:sdt>
    <w:r w:rsidR="008047A3">
      <w:ptab w:relativeTo="margin" w:alignment="center" w:leader="none"/>
    </w:r>
    <w:sdt>
      <w:sdtPr>
        <w:id w:val="1779447309"/>
        <w:placeholder>
          <w:docPart w:val="76399368C531AE4CBFA6BA9B6490A284"/>
        </w:placeholder>
        <w:temporary/>
        <w:showingPlcHdr/>
      </w:sdtPr>
      <w:sdtContent>
        <w:r w:rsidR="008047A3">
          <w:rPr>
            <w:lang w:val="es-ES"/>
          </w:rPr>
          <w:t>[Escriba texto]</w:t>
        </w:r>
      </w:sdtContent>
    </w:sdt>
    <w:r w:rsidR="008047A3">
      <w:ptab w:relativeTo="margin" w:alignment="right" w:leader="none"/>
    </w:r>
    <w:sdt>
      <w:sdtPr>
        <w:id w:val="-511759270"/>
        <w:placeholder>
          <w:docPart w:val="0CAE6E5861A48C448E2C870FDBA50025"/>
        </w:placeholder>
        <w:temporary/>
        <w:showingPlcHdr/>
      </w:sdtPr>
      <w:sdtContent>
        <w:r w:rsidR="008047A3">
          <w:rPr>
            <w:lang w:val="es-ES"/>
          </w:rPr>
          <w:t>[Escriba texto]</w:t>
        </w:r>
      </w:sdtContent>
    </w:sdt>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2"/>
        <w:szCs w:val="21"/>
      </w:rPr>
      <w:id w:val="-1092078925"/>
      <w:docPartObj>
        <w:docPartGallery w:val="Page Numbers (Bottom of Page)"/>
        <w:docPartUnique/>
      </w:docPartObj>
    </w:sdtPr>
    <w:sdtEndPr>
      <w:rPr>
        <w:rFonts w:asciiTheme="majorHAnsi" w:eastAsiaTheme="majorEastAsia" w:hAnsiTheme="majorHAnsi" w:cstheme="majorBidi"/>
        <w:sz w:val="32"/>
        <w:szCs w:val="40"/>
      </w:rPr>
    </w:sdtEndPr>
    <w:sdtContent>
      <w:p w:rsidR="008047A3" w:rsidRDefault="007E0A32">
        <w:pPr>
          <w:pStyle w:val="Piedepgina"/>
          <w:jc w:val="right"/>
          <w:rPr>
            <w:rFonts w:asciiTheme="majorHAnsi" w:eastAsiaTheme="majorEastAsia" w:hAnsiTheme="majorHAnsi" w:cstheme="majorBidi"/>
            <w:color w:val="4A66AC" w:themeColor="accent1"/>
            <w:sz w:val="40"/>
            <w:szCs w:val="40"/>
          </w:rPr>
        </w:pPr>
        <w:r w:rsidRPr="007E0A32">
          <w:rPr>
            <w:sz w:val="22"/>
            <w:szCs w:val="21"/>
          </w:rPr>
          <w:fldChar w:fldCharType="begin"/>
        </w:r>
        <w:r w:rsidR="008047A3">
          <w:instrText>PAGE   \* MERGEFORMAT</w:instrText>
        </w:r>
        <w:r w:rsidRPr="007E0A32">
          <w:rPr>
            <w:sz w:val="22"/>
            <w:szCs w:val="21"/>
          </w:rPr>
          <w:fldChar w:fldCharType="separate"/>
        </w:r>
        <w:r w:rsidR="00484F7F" w:rsidRPr="00484F7F">
          <w:rPr>
            <w:rFonts w:asciiTheme="majorHAnsi" w:eastAsiaTheme="majorEastAsia" w:hAnsiTheme="majorHAnsi" w:cstheme="majorBidi"/>
            <w:noProof/>
            <w:color w:val="4A66AC" w:themeColor="accent1"/>
            <w:sz w:val="40"/>
            <w:szCs w:val="40"/>
            <w:lang w:val="es-ES"/>
          </w:rPr>
          <w:t>149</w:t>
        </w:r>
        <w:r>
          <w:rPr>
            <w:rFonts w:asciiTheme="majorHAnsi" w:eastAsiaTheme="majorEastAsia" w:hAnsiTheme="majorHAnsi" w:cstheme="majorBidi"/>
            <w:color w:val="4A66AC" w:themeColor="accent1"/>
            <w:sz w:val="40"/>
            <w:szCs w:val="40"/>
          </w:rPr>
          <w:fldChar w:fldCharType="end"/>
        </w:r>
      </w:p>
    </w:sdtContent>
  </w:sdt>
  <w:p w:rsidR="008047A3" w:rsidRDefault="008047A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75A4" w:rsidRDefault="007275A4" w:rsidP="009E7CE6">
      <w:r>
        <w:separator/>
      </w:r>
    </w:p>
  </w:footnote>
  <w:footnote w:type="continuationSeparator" w:id="0">
    <w:p w:rsidR="007275A4" w:rsidRDefault="007275A4" w:rsidP="009E7CE6">
      <w:r>
        <w:continuationSeparator/>
      </w:r>
    </w:p>
  </w:footnote>
  <w:footnote w:id="1">
    <w:p w:rsidR="008047A3" w:rsidRPr="00B511A3" w:rsidRDefault="008047A3" w:rsidP="004850C2">
      <w:pPr>
        <w:pStyle w:val="Textonotapie"/>
        <w:rPr>
          <w:rFonts w:ascii="Barlow Medium" w:eastAsiaTheme="minorEastAsia" w:hAnsi="Barlow Medium" w:cs="Arial"/>
          <w:sz w:val="24"/>
          <w:szCs w:val="24"/>
          <w:lang w:val="es-MX" w:eastAsia="es-MX"/>
        </w:rPr>
      </w:pPr>
      <w:r>
        <w:rPr>
          <w:rStyle w:val="Refdenotaalpie"/>
          <w:rFonts w:ascii="Barlow" w:hAnsi="Barlow" w:cs="Arial"/>
          <w:sz w:val="18"/>
          <w:szCs w:val="18"/>
        </w:rPr>
        <w:footnoteRef/>
      </w:r>
      <w:r w:rsidRPr="00B511A3">
        <w:rPr>
          <w:rFonts w:ascii="Barlow" w:hAnsi="Barlow" w:cs="Arial"/>
          <w:sz w:val="18"/>
          <w:szCs w:val="18"/>
          <w:lang w:val="es-MX"/>
        </w:rPr>
        <w:t xml:space="preserve"> </w:t>
      </w:r>
      <w:r w:rsidRPr="00B511A3">
        <w:rPr>
          <w:rFonts w:ascii="Barlow Medium" w:hAnsi="Barlow Medium" w:cs="Arial"/>
          <w:sz w:val="24"/>
          <w:szCs w:val="24"/>
          <w:lang w:val="es-MX"/>
        </w:rPr>
        <w:t>Unicef (2011). Inversión pública en la infancia y la adolescencia en México. México: Unicef México.</w:t>
      </w:r>
    </w:p>
    <w:p w:rsidR="008047A3" w:rsidRPr="00B511A3" w:rsidRDefault="008047A3" w:rsidP="004850C2">
      <w:pPr>
        <w:pStyle w:val="Textonotapie"/>
        <w:rPr>
          <w:rFonts w:ascii="Barlow Medium" w:hAnsi="Barlow Medium"/>
          <w:sz w:val="24"/>
          <w:szCs w:val="24"/>
          <w:lang w:val="es-MX"/>
        </w:rPr>
      </w:pPr>
    </w:p>
  </w:footnote>
  <w:footnote w:id="2">
    <w:p w:rsidR="008047A3" w:rsidRPr="00B511A3" w:rsidRDefault="008047A3" w:rsidP="004850C2">
      <w:pPr>
        <w:pStyle w:val="Textonotapie"/>
        <w:jc w:val="both"/>
        <w:rPr>
          <w:rFonts w:ascii="Barlow" w:hAnsi="Barlow" w:cs="Arial"/>
          <w:sz w:val="18"/>
          <w:szCs w:val="18"/>
          <w:lang w:val="es-MX"/>
        </w:rPr>
      </w:pPr>
      <w:r>
        <w:rPr>
          <w:rStyle w:val="Refdenotaalpie"/>
          <w:rFonts w:ascii="Barlow Medium" w:hAnsi="Barlow Medium" w:cs="Arial"/>
          <w:sz w:val="24"/>
          <w:szCs w:val="24"/>
        </w:rPr>
        <w:footnoteRef/>
      </w:r>
      <w:r w:rsidRPr="00B511A3">
        <w:rPr>
          <w:rFonts w:ascii="Barlow Medium" w:hAnsi="Barlow Medium" w:cs="Arial"/>
          <w:sz w:val="24"/>
          <w:szCs w:val="24"/>
          <w:lang w:val="es-MX"/>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3">
    <w:p w:rsidR="008047A3" w:rsidRPr="00B511A3" w:rsidRDefault="008047A3" w:rsidP="004850C2">
      <w:pPr>
        <w:pStyle w:val="Textonotapie"/>
        <w:rPr>
          <w:rFonts w:ascii="Barlow" w:hAnsi="Barlow" w:cs="Arial"/>
          <w:sz w:val="18"/>
          <w:szCs w:val="18"/>
          <w:lang w:val="es-MX"/>
        </w:rPr>
      </w:pPr>
      <w:r>
        <w:rPr>
          <w:rStyle w:val="Refdenotaalpie"/>
          <w:rFonts w:ascii="Barlow" w:hAnsi="Barlow" w:cs="Arial"/>
          <w:sz w:val="18"/>
          <w:szCs w:val="18"/>
        </w:rPr>
        <w:footnoteRef/>
      </w:r>
      <w:r w:rsidRPr="00B511A3">
        <w:rPr>
          <w:rFonts w:ascii="Barlow" w:hAnsi="Barlow" w:cs="Arial"/>
          <w:sz w:val="18"/>
          <w:szCs w:val="18"/>
          <w:lang w:val="es-MX"/>
        </w:rPr>
        <w:t xml:space="preserve"> Unicef (2011). Inversión pública en la infancia y la adolescencia en México. México: Unicef México</w:t>
      </w:r>
    </w:p>
  </w:footnote>
  <w:footnote w:id="4">
    <w:p w:rsidR="008047A3" w:rsidRPr="00B511A3" w:rsidRDefault="008047A3" w:rsidP="004850C2">
      <w:pPr>
        <w:pStyle w:val="Textonotapie"/>
        <w:rPr>
          <w:rFonts w:ascii="Arial" w:hAnsi="Arial" w:cs="Arial"/>
          <w:sz w:val="18"/>
          <w:szCs w:val="16"/>
          <w:lang w:val="es-MX"/>
        </w:rPr>
      </w:pPr>
      <w:r>
        <w:rPr>
          <w:rStyle w:val="Refdenotaalpie"/>
          <w:rFonts w:ascii="Arial" w:hAnsi="Arial" w:cs="Arial"/>
          <w:sz w:val="18"/>
        </w:rPr>
        <w:footnoteRef/>
      </w:r>
      <w:r w:rsidRPr="00B511A3">
        <w:rPr>
          <w:rFonts w:ascii="Arial" w:hAnsi="Arial" w:cs="Arial"/>
          <w:sz w:val="18"/>
          <w:szCs w:val="16"/>
          <w:lang w:val="es-MX"/>
        </w:rPr>
        <w:t xml:space="preserve"> Unicef (2011). Inversión pública en la infancia y la adolescencia en México. México: Unicef México.</w:t>
      </w:r>
    </w:p>
    <w:p w:rsidR="008047A3" w:rsidRPr="00B511A3" w:rsidRDefault="008047A3" w:rsidP="004850C2">
      <w:pPr>
        <w:pStyle w:val="Textonotapie"/>
        <w:rPr>
          <w:lang w:val="es-MX"/>
        </w:rPr>
      </w:pPr>
    </w:p>
  </w:footnote>
  <w:footnote w:id="5">
    <w:p w:rsidR="008047A3" w:rsidRPr="00B511A3" w:rsidRDefault="008047A3" w:rsidP="004850C2">
      <w:pPr>
        <w:pStyle w:val="Textonotapie"/>
        <w:rPr>
          <w:rFonts w:ascii="Barlow" w:hAnsi="Barlow" w:cs="Arial"/>
          <w:sz w:val="16"/>
          <w:szCs w:val="16"/>
          <w:lang w:val="es-MX"/>
        </w:rPr>
      </w:pPr>
      <w:r>
        <w:rPr>
          <w:rStyle w:val="Refdenotaalpie"/>
          <w:rFonts w:ascii="Barlow" w:hAnsi="Barlow" w:cs="Arial"/>
          <w:sz w:val="18"/>
        </w:rPr>
        <w:footnoteRef/>
      </w:r>
      <w:r w:rsidRPr="00B511A3">
        <w:rPr>
          <w:rFonts w:ascii="Barlow" w:hAnsi="Barlow" w:cs="Arial"/>
          <w:sz w:val="18"/>
          <w:szCs w:val="16"/>
          <w:lang w:val="es-MX"/>
        </w:rPr>
        <w:t xml:space="preserve"> Unicef  (2011). Inversión pública en la infancia y la adolescencia en México. México: Unicef México</w:t>
      </w:r>
    </w:p>
  </w:footnote>
  <w:footnote w:id="6">
    <w:p w:rsidR="008047A3" w:rsidRPr="00B511A3" w:rsidRDefault="008047A3" w:rsidP="004850C2">
      <w:pPr>
        <w:pStyle w:val="Textonotapie"/>
        <w:rPr>
          <w:rFonts w:ascii="Barlow Medium" w:eastAsia="Arial" w:hAnsi="Barlow Medium" w:cs="Arial"/>
          <w:w w:val="102"/>
          <w:lang w:val="es-MX"/>
        </w:rPr>
      </w:pPr>
      <w:r>
        <w:rPr>
          <w:rStyle w:val="Refdenotaalpie"/>
          <w:rFonts w:ascii="Barlow Medium" w:hAnsi="Barlow Medium" w:cs="Arial"/>
        </w:rPr>
        <w:footnoteRef/>
      </w:r>
      <w:r w:rsidRPr="00B511A3">
        <w:rPr>
          <w:rFonts w:ascii="Barlow Medium" w:hAnsi="Barlow Medium" w:cs="Arial"/>
          <w:lang w:val="es-MX"/>
        </w:rPr>
        <w:t xml:space="preserve"> Elaboración propia de acuerdo a la Convención Iberoamericana de los Derechos de los Jóvenes.  </w:t>
      </w:r>
      <w:hyperlink r:id="rId1" w:history="1">
        <w:r w:rsidRPr="00B511A3">
          <w:rPr>
            <w:rStyle w:val="Hipervnculo"/>
            <w:rFonts w:ascii="Barlow Medium" w:hAnsi="Barlow Medium" w:cs="Arial"/>
            <w:lang w:val="es-MX"/>
          </w:rPr>
          <w:t>http://www.injuve.es/sites/default/files/ConvencionIberoamericana2005.pdf</w:t>
        </w:r>
      </w:hyperlink>
      <w:r w:rsidRPr="00B511A3">
        <w:rPr>
          <w:rFonts w:ascii="Barlow Medium" w:hAnsi="Barlow Medium" w:cs="Arial"/>
          <w:lang w:val="es-MX"/>
        </w:rPr>
        <w:t xml:space="preserve"> </w:t>
      </w:r>
    </w:p>
  </w:footnote>
  <w:footnote w:id="7">
    <w:p w:rsidR="008047A3" w:rsidRDefault="008047A3" w:rsidP="004850C2">
      <w:pPr>
        <w:spacing w:before="68"/>
        <w:ind w:right="-20"/>
        <w:rPr>
          <w:rFonts w:ascii="Barlow Medium" w:eastAsia="Arial" w:hAnsi="Barlow Medium" w:cs="Arial"/>
          <w:sz w:val="20"/>
          <w:szCs w:val="20"/>
        </w:rPr>
      </w:pPr>
      <w:r>
        <w:rPr>
          <w:rStyle w:val="Refdenotaalpie"/>
          <w:rFonts w:ascii="Barlow Medium" w:hAnsi="Barlow Medium" w:cs="Arial"/>
          <w:sz w:val="20"/>
          <w:szCs w:val="20"/>
        </w:rPr>
        <w:footnoteRef/>
      </w:r>
      <w:r>
        <w:rPr>
          <w:rFonts w:ascii="Barlow Medium" w:hAnsi="Barlow Medium" w:cs="Arial"/>
          <w:sz w:val="20"/>
          <w:szCs w:val="20"/>
        </w:rPr>
        <w:t xml:space="preserve"> </w:t>
      </w:r>
      <w:r>
        <w:rPr>
          <w:rFonts w:ascii="Barlow Medium" w:eastAsia="Arial" w:hAnsi="Barlow Medium" w:cs="Arial"/>
          <w:spacing w:val="-1"/>
          <w:sz w:val="20"/>
          <w:szCs w:val="20"/>
        </w:rPr>
        <w:t>Juventud: realidades y retos para un desarrollo con igualdad. Daniela Trucco y Heidi Ullmann. Comisión Económica para América Latina y el Caribe (CEPAL), septiembre de 2015.</w:t>
      </w:r>
    </w:p>
  </w:footnote>
  <w:footnote w:id="8">
    <w:p w:rsidR="008047A3" w:rsidRPr="00484F7F" w:rsidRDefault="008047A3" w:rsidP="004850C2">
      <w:pPr>
        <w:pStyle w:val="Textonotapie"/>
        <w:rPr>
          <w:rFonts w:ascii="Barlow" w:eastAsiaTheme="minorEastAsia" w:hAnsi="Barlow" w:cs="Arial"/>
          <w:sz w:val="18"/>
          <w:szCs w:val="18"/>
          <w:lang w:val="es-MX"/>
        </w:rPr>
      </w:pPr>
      <w:r>
        <w:rPr>
          <w:rStyle w:val="Refdenotaalpie"/>
          <w:rFonts w:ascii="Barlow Medium" w:hAnsi="Barlow Medium" w:cs="Arial"/>
        </w:rPr>
        <w:footnoteRef/>
      </w:r>
      <w:r w:rsidRPr="00B511A3">
        <w:rPr>
          <w:rFonts w:ascii="Barlow Medium" w:hAnsi="Barlow Medium" w:cs="Arial"/>
          <w:lang w:val="es-MX"/>
        </w:rPr>
        <w:t xml:space="preserve"> </w:t>
      </w:r>
      <w:r w:rsidRPr="00B511A3">
        <w:rPr>
          <w:rFonts w:ascii="Barlow Medium" w:eastAsia="Arial" w:hAnsi="Barlow Medium" w:cs="Arial"/>
          <w:spacing w:val="1"/>
          <w:position w:val="-2"/>
          <w:lang w:val="es-MX"/>
        </w:rPr>
        <w:t>I</w:t>
      </w:r>
      <w:r w:rsidRPr="00B511A3">
        <w:rPr>
          <w:rFonts w:ascii="Barlow Medium" w:eastAsia="Arial" w:hAnsi="Barlow Medium" w:cs="Arial"/>
          <w:spacing w:val="-1"/>
          <w:position w:val="-2"/>
          <w:lang w:val="es-MX"/>
        </w:rPr>
        <w:t>n</w:t>
      </w:r>
      <w:r w:rsidRPr="00B511A3">
        <w:rPr>
          <w:rFonts w:ascii="Barlow Medium" w:eastAsia="Arial" w:hAnsi="Barlow Medium" w:cs="Arial"/>
          <w:position w:val="-2"/>
          <w:lang w:val="es-MX"/>
        </w:rPr>
        <w:t>vers</w:t>
      </w:r>
      <w:r w:rsidRPr="00B511A3">
        <w:rPr>
          <w:rFonts w:ascii="Barlow Medium" w:eastAsia="Arial" w:hAnsi="Barlow Medium" w:cs="Arial"/>
          <w:spacing w:val="1"/>
          <w:position w:val="-2"/>
          <w:lang w:val="es-MX"/>
        </w:rPr>
        <w:t>i</w:t>
      </w:r>
      <w:r w:rsidRPr="00B511A3">
        <w:rPr>
          <w:rFonts w:ascii="Barlow Medium" w:eastAsia="Arial" w:hAnsi="Barlow Medium" w:cs="Arial"/>
          <w:spacing w:val="-1"/>
          <w:position w:val="-2"/>
          <w:lang w:val="es-MX"/>
        </w:rPr>
        <w:t>ó</w:t>
      </w:r>
      <w:r w:rsidRPr="00B511A3">
        <w:rPr>
          <w:rFonts w:ascii="Barlow Medium" w:eastAsia="Arial" w:hAnsi="Barlow Medium" w:cs="Arial"/>
          <w:position w:val="-2"/>
          <w:lang w:val="es-MX"/>
        </w:rPr>
        <w:t>n</w:t>
      </w:r>
      <w:r w:rsidRPr="00B511A3">
        <w:rPr>
          <w:rFonts w:ascii="Barlow Medium" w:eastAsia="Arial" w:hAnsi="Barlow Medium" w:cs="Arial"/>
          <w:spacing w:val="-7"/>
          <w:position w:val="-2"/>
          <w:lang w:val="es-MX"/>
        </w:rPr>
        <w:t xml:space="preserve"> </w:t>
      </w:r>
      <w:r w:rsidRPr="00B511A3">
        <w:rPr>
          <w:rFonts w:ascii="Barlow Medium" w:eastAsia="Arial" w:hAnsi="Barlow Medium" w:cs="Arial"/>
          <w:position w:val="-2"/>
          <w:lang w:val="es-MX"/>
        </w:rPr>
        <w:t>p</w:t>
      </w:r>
      <w:r w:rsidRPr="00B511A3">
        <w:rPr>
          <w:rFonts w:ascii="Barlow Medium" w:eastAsia="Arial" w:hAnsi="Barlow Medium" w:cs="Arial"/>
          <w:spacing w:val="1"/>
          <w:position w:val="-2"/>
          <w:lang w:val="es-MX"/>
        </w:rPr>
        <w:t>ú</w:t>
      </w:r>
      <w:r w:rsidRPr="00B511A3">
        <w:rPr>
          <w:rFonts w:ascii="Barlow Medium" w:eastAsia="Arial" w:hAnsi="Barlow Medium" w:cs="Arial"/>
          <w:position w:val="-2"/>
          <w:lang w:val="es-MX"/>
        </w:rPr>
        <w:t>b</w:t>
      </w:r>
      <w:r w:rsidRPr="00B511A3">
        <w:rPr>
          <w:rFonts w:ascii="Barlow Medium" w:eastAsia="Arial" w:hAnsi="Barlow Medium" w:cs="Arial"/>
          <w:spacing w:val="1"/>
          <w:position w:val="-2"/>
          <w:lang w:val="es-MX"/>
        </w:rPr>
        <w:t>l</w:t>
      </w:r>
      <w:r w:rsidRPr="00B511A3">
        <w:rPr>
          <w:rFonts w:ascii="Barlow Medium" w:eastAsia="Arial" w:hAnsi="Barlow Medium" w:cs="Arial"/>
          <w:position w:val="-2"/>
          <w:lang w:val="es-MX"/>
        </w:rPr>
        <w:t>ica</w:t>
      </w:r>
      <w:r w:rsidRPr="00B511A3">
        <w:rPr>
          <w:rFonts w:ascii="Barlow Medium" w:eastAsia="Arial" w:hAnsi="Barlow Medium" w:cs="Arial"/>
          <w:spacing w:val="-7"/>
          <w:position w:val="-2"/>
          <w:lang w:val="es-MX"/>
        </w:rPr>
        <w:t xml:space="preserve"> </w:t>
      </w:r>
      <w:r w:rsidRPr="00B511A3">
        <w:rPr>
          <w:rFonts w:ascii="Barlow Medium" w:eastAsia="Arial" w:hAnsi="Barlow Medium" w:cs="Arial"/>
          <w:position w:val="-2"/>
          <w:lang w:val="es-MX"/>
        </w:rPr>
        <w:t>en</w:t>
      </w:r>
      <w:r w:rsidRPr="00B511A3">
        <w:rPr>
          <w:rFonts w:ascii="Barlow Medium" w:eastAsia="Arial" w:hAnsi="Barlow Medium" w:cs="Arial"/>
          <w:spacing w:val="-1"/>
          <w:position w:val="-2"/>
          <w:lang w:val="es-MX"/>
        </w:rPr>
        <w:t xml:space="preserve"> la i</w:t>
      </w:r>
      <w:r w:rsidRPr="00B511A3">
        <w:rPr>
          <w:rFonts w:ascii="Barlow Medium" w:eastAsia="Arial" w:hAnsi="Barlow Medium" w:cs="Arial"/>
          <w:spacing w:val="1"/>
          <w:position w:val="-2"/>
          <w:lang w:val="es-MX"/>
        </w:rPr>
        <w:t>n</w:t>
      </w:r>
      <w:r w:rsidRPr="00B511A3">
        <w:rPr>
          <w:rFonts w:ascii="Barlow Medium" w:eastAsia="Arial" w:hAnsi="Barlow Medium" w:cs="Arial"/>
          <w:position w:val="-2"/>
          <w:lang w:val="es-MX"/>
        </w:rPr>
        <w:t>f</w:t>
      </w:r>
      <w:r w:rsidRPr="00B511A3">
        <w:rPr>
          <w:rFonts w:ascii="Barlow Medium" w:eastAsia="Arial" w:hAnsi="Barlow Medium" w:cs="Arial"/>
          <w:spacing w:val="1"/>
          <w:position w:val="-2"/>
          <w:lang w:val="es-MX"/>
        </w:rPr>
        <w:t>a</w:t>
      </w:r>
      <w:r w:rsidRPr="00B511A3">
        <w:rPr>
          <w:rFonts w:ascii="Barlow Medium" w:eastAsia="Arial" w:hAnsi="Barlow Medium" w:cs="Arial"/>
          <w:position w:val="-2"/>
          <w:lang w:val="es-MX"/>
        </w:rPr>
        <w:t>ncia y la adolescencia en México (Unic</w:t>
      </w:r>
      <w:r w:rsidRPr="00B511A3">
        <w:rPr>
          <w:rFonts w:ascii="Barlow Medium" w:eastAsia="Arial" w:hAnsi="Barlow Medium" w:cs="Arial"/>
          <w:spacing w:val="1"/>
          <w:position w:val="-2"/>
          <w:lang w:val="es-MX"/>
        </w:rPr>
        <w:t>e</w:t>
      </w:r>
      <w:r w:rsidRPr="00B511A3">
        <w:rPr>
          <w:rFonts w:ascii="Barlow Medium" w:eastAsia="Arial" w:hAnsi="Barlow Medium" w:cs="Arial"/>
          <w:position w:val="-2"/>
          <w:lang w:val="es-MX"/>
        </w:rPr>
        <w:t>f</w:t>
      </w:r>
      <w:r w:rsidRPr="00B511A3">
        <w:rPr>
          <w:rFonts w:ascii="Barlow Medium" w:eastAsia="Arial" w:hAnsi="Barlow Medium" w:cs="Arial"/>
          <w:spacing w:val="-6"/>
          <w:position w:val="-2"/>
          <w:lang w:val="es-MX"/>
        </w:rPr>
        <w:t xml:space="preserve"> </w:t>
      </w:r>
      <w:r w:rsidRPr="00B511A3">
        <w:rPr>
          <w:rFonts w:ascii="Barlow Medium" w:eastAsia="Arial" w:hAnsi="Barlow Medium" w:cs="Arial"/>
          <w:spacing w:val="1"/>
          <w:position w:val="-2"/>
          <w:lang w:val="es-MX"/>
        </w:rPr>
        <w:t>2</w:t>
      </w:r>
      <w:r w:rsidRPr="00B511A3">
        <w:rPr>
          <w:rFonts w:ascii="Barlow Medium" w:eastAsia="Arial" w:hAnsi="Barlow Medium" w:cs="Arial"/>
          <w:spacing w:val="-1"/>
          <w:position w:val="-2"/>
          <w:lang w:val="es-MX"/>
        </w:rPr>
        <w:t>0</w:t>
      </w:r>
      <w:r w:rsidRPr="00B511A3">
        <w:rPr>
          <w:rFonts w:ascii="Barlow Medium" w:eastAsia="Arial" w:hAnsi="Barlow Medium" w:cs="Arial"/>
          <w:spacing w:val="1"/>
          <w:position w:val="-2"/>
          <w:lang w:val="es-MX"/>
        </w:rPr>
        <w:t>1</w:t>
      </w:r>
      <w:r w:rsidRPr="00B511A3">
        <w:rPr>
          <w:rFonts w:ascii="Barlow Medium" w:eastAsia="Arial" w:hAnsi="Barlow Medium" w:cs="Arial"/>
          <w:position w:val="-2"/>
          <w:lang w:val="es-MX"/>
        </w:rPr>
        <w:t xml:space="preserve">1). </w:t>
      </w:r>
      <w:hyperlink r:id="rId2" w:history="1">
        <w:r w:rsidRPr="00484F7F">
          <w:rPr>
            <w:rStyle w:val="Hipervnculo"/>
            <w:rFonts w:ascii="Barlow Medium" w:eastAsia="Arial" w:hAnsi="Barlow Medium" w:cs="Arial"/>
            <w:position w:val="-2"/>
            <w:lang w:val="es-MX"/>
          </w:rPr>
          <w:t>https://www.unicef.org/mexico/spanish/mx_inversion_actualizada(1).pdf</w:t>
        </w:r>
      </w:hyperlink>
      <w:r w:rsidRPr="00484F7F">
        <w:rPr>
          <w:rFonts w:ascii="Barlow" w:eastAsia="Arial" w:hAnsi="Barlow" w:cs="Arial"/>
          <w:position w:val="-2"/>
          <w:sz w:val="18"/>
          <w:szCs w:val="18"/>
          <w:lang w:val="es-MX"/>
        </w:rPr>
        <w:t xml:space="preserve"> </w:t>
      </w:r>
    </w:p>
  </w:footnote>
  <w:footnote w:id="9">
    <w:p w:rsidR="008047A3" w:rsidRDefault="008047A3" w:rsidP="004850C2">
      <w:pPr>
        <w:rPr>
          <w:rFonts w:ascii="Barlow Medium" w:hAnsi="Barlow Medium" w:cs="Arial"/>
          <w:sz w:val="20"/>
          <w:szCs w:val="20"/>
        </w:rPr>
      </w:pPr>
      <w:r>
        <w:rPr>
          <w:rStyle w:val="Refdenotaalpie"/>
          <w:rFonts w:ascii="Barlow Medium" w:hAnsi="Barlow Medium" w:cs="Arial"/>
          <w:sz w:val="20"/>
          <w:szCs w:val="20"/>
        </w:rPr>
        <w:footnoteRef/>
      </w:r>
      <w:r>
        <w:rPr>
          <w:rFonts w:ascii="Barlow Medium" w:hAnsi="Barlow Medium" w:cs="Arial"/>
          <w:sz w:val="20"/>
          <w:szCs w:val="20"/>
        </w:rPr>
        <w:t xml:space="preserve"> Programa de las Naciones Unidas para el Desarrollo (PNUD). Organización de las Naciones Unidas (ONU).</w:t>
      </w:r>
    </w:p>
  </w:footnote>
  <w:footnote w:id="10">
    <w:p w:rsidR="008047A3" w:rsidRDefault="008047A3" w:rsidP="004850C2">
      <w:pPr>
        <w:rPr>
          <w:rFonts w:ascii="Arial" w:hAnsi="Arial" w:cs="Arial"/>
          <w:sz w:val="18"/>
          <w:szCs w:val="22"/>
        </w:rPr>
      </w:pPr>
      <w:r>
        <w:rPr>
          <w:rStyle w:val="Refdenotaalpie"/>
          <w:rFonts w:ascii="Barlow Medium" w:hAnsi="Barlow Medium" w:cs="Arial"/>
          <w:sz w:val="20"/>
          <w:szCs w:val="20"/>
        </w:rPr>
        <w:footnoteRef/>
      </w:r>
      <w:r>
        <w:rPr>
          <w:rFonts w:ascii="Barlow Medium" w:hAnsi="Barlow Medium" w:cs="Arial"/>
          <w:sz w:val="20"/>
          <w:szCs w:val="20"/>
        </w:rPr>
        <w:t xml:space="preserve"> </w:t>
      </w:r>
      <w:hyperlink r:id="rId3" w:history="1">
        <w:r>
          <w:rPr>
            <w:rStyle w:val="Hipervnculo"/>
            <w:rFonts w:ascii="Barlow Medium" w:hAnsi="Barlow Medium" w:cs="Arial"/>
            <w:sz w:val="20"/>
            <w:szCs w:val="20"/>
          </w:rPr>
          <w:t>http://www.mx.undp.org/content/mexico/es/home/post-2015/sdg-overview.html</w:t>
        </w:r>
      </w:hyperlink>
      <w:r>
        <w:rPr>
          <w:rFonts w:ascii="Arial" w:hAnsi="Arial" w:cs="Arial"/>
          <w:sz w:val="18"/>
        </w:rPr>
        <w:t xml:space="preserve"> </w:t>
      </w:r>
    </w:p>
  </w:footnote>
  <w:footnote w:id="11">
    <w:p w:rsidR="008047A3" w:rsidRPr="00B511A3" w:rsidRDefault="008047A3" w:rsidP="004850C2">
      <w:pPr>
        <w:pStyle w:val="Textonotapie"/>
        <w:rPr>
          <w:rFonts w:ascii="Barlow Medium" w:hAnsi="Barlow Medium" w:cs="Arial"/>
          <w:lang w:val="es-MX"/>
        </w:rPr>
      </w:pPr>
      <w:r>
        <w:rPr>
          <w:rStyle w:val="Refdenotaalpie"/>
          <w:rFonts w:ascii="Barlow Medium" w:hAnsi="Barlow Medium" w:cs="Arial"/>
        </w:rPr>
        <w:footnoteRef/>
      </w:r>
      <w:r w:rsidRPr="00B511A3">
        <w:rPr>
          <w:rFonts w:ascii="Barlow Medium" w:hAnsi="Barlow Medium" w:cs="Arial"/>
          <w:lang w:val="es-MX"/>
        </w:rPr>
        <w:t xml:space="preserve"> </w:t>
      </w:r>
      <w:r w:rsidRPr="00B511A3">
        <w:rPr>
          <w:rFonts w:ascii="Barlow Medium" w:eastAsia="Arial" w:hAnsi="Barlow Medium" w:cs="Arial"/>
          <w:spacing w:val="1"/>
          <w:lang w:val="es-MX"/>
        </w:rPr>
        <w:t>L</w:t>
      </w:r>
      <w:r w:rsidRPr="00B511A3">
        <w:rPr>
          <w:rFonts w:ascii="Barlow Medium" w:eastAsia="Arial" w:hAnsi="Barlow Medium" w:cs="Arial"/>
          <w:spacing w:val="-1"/>
          <w:lang w:val="es-MX"/>
        </w:rPr>
        <w:t>in</w:t>
      </w:r>
      <w:r w:rsidRPr="00B511A3">
        <w:rPr>
          <w:rFonts w:ascii="Barlow Medium" w:eastAsia="Arial" w:hAnsi="Barlow Medium" w:cs="Arial"/>
          <w:spacing w:val="1"/>
          <w:lang w:val="es-MX"/>
        </w:rPr>
        <w:t>ea</w:t>
      </w:r>
      <w:r w:rsidRPr="00B511A3">
        <w:rPr>
          <w:rFonts w:ascii="Barlow Medium" w:eastAsia="Arial" w:hAnsi="Barlow Medium" w:cs="Arial"/>
          <w:spacing w:val="-2"/>
          <w:lang w:val="es-MX"/>
        </w:rPr>
        <w:t>m</w:t>
      </w:r>
      <w:r w:rsidRPr="00B511A3">
        <w:rPr>
          <w:rFonts w:ascii="Barlow Medium" w:eastAsia="Arial" w:hAnsi="Barlow Medium" w:cs="Arial"/>
          <w:spacing w:val="-1"/>
          <w:lang w:val="es-MX"/>
        </w:rPr>
        <w:t>i</w:t>
      </w:r>
      <w:r w:rsidRPr="00B511A3">
        <w:rPr>
          <w:rFonts w:ascii="Barlow Medium" w:eastAsia="Arial" w:hAnsi="Barlow Medium" w:cs="Arial"/>
          <w:spacing w:val="2"/>
          <w:lang w:val="es-MX"/>
        </w:rPr>
        <w:t>e</w:t>
      </w:r>
      <w:r w:rsidRPr="00B511A3">
        <w:rPr>
          <w:rFonts w:ascii="Barlow Medium" w:eastAsia="Arial" w:hAnsi="Barlow Medium" w:cs="Arial"/>
          <w:spacing w:val="-1"/>
          <w:lang w:val="es-MX"/>
        </w:rPr>
        <w:t>nt</w:t>
      </w:r>
      <w:r w:rsidRPr="00B511A3">
        <w:rPr>
          <w:rFonts w:ascii="Barlow Medium" w:eastAsia="Arial" w:hAnsi="Barlow Medium" w:cs="Arial"/>
          <w:spacing w:val="1"/>
          <w:lang w:val="es-MX"/>
        </w:rPr>
        <w:t>o</w:t>
      </w:r>
      <w:r w:rsidRPr="00B511A3">
        <w:rPr>
          <w:rFonts w:ascii="Barlow Medium" w:eastAsia="Arial" w:hAnsi="Barlow Medium" w:cs="Arial"/>
          <w:lang w:val="es-MX"/>
        </w:rPr>
        <w:t>s</w:t>
      </w:r>
      <w:r w:rsidRPr="00B511A3">
        <w:rPr>
          <w:rFonts w:ascii="Barlow Medium" w:eastAsia="Arial" w:hAnsi="Barlow Medium" w:cs="Arial"/>
          <w:spacing w:val="22"/>
          <w:lang w:val="es-MX"/>
        </w:rPr>
        <w:t xml:space="preserve"> </w:t>
      </w:r>
      <w:r w:rsidRPr="00B511A3">
        <w:rPr>
          <w:rFonts w:ascii="Barlow Medium" w:eastAsia="Arial" w:hAnsi="Barlow Medium" w:cs="Arial"/>
          <w:spacing w:val="-1"/>
          <w:lang w:val="es-MX"/>
        </w:rPr>
        <w:t>par</w:t>
      </w:r>
      <w:r w:rsidRPr="00B511A3">
        <w:rPr>
          <w:rFonts w:ascii="Barlow Medium" w:eastAsia="Arial" w:hAnsi="Barlow Medium" w:cs="Arial"/>
          <w:lang w:val="es-MX"/>
        </w:rPr>
        <w:t xml:space="preserve">a </w:t>
      </w:r>
      <w:r w:rsidRPr="00B511A3">
        <w:rPr>
          <w:rFonts w:ascii="Barlow Medium" w:eastAsia="Arial" w:hAnsi="Barlow Medium" w:cs="Arial"/>
          <w:spacing w:val="-1"/>
          <w:lang w:val="es-MX"/>
        </w:rPr>
        <w:t>l</w:t>
      </w:r>
      <w:r w:rsidRPr="00B511A3">
        <w:rPr>
          <w:rFonts w:ascii="Barlow Medium" w:eastAsia="Arial" w:hAnsi="Barlow Medium" w:cs="Arial"/>
          <w:lang w:val="es-MX"/>
        </w:rPr>
        <w:t xml:space="preserve">a </w:t>
      </w:r>
      <w:r w:rsidRPr="00B511A3">
        <w:rPr>
          <w:rFonts w:ascii="Barlow Medium" w:eastAsia="Arial" w:hAnsi="Barlow Medium" w:cs="Arial"/>
          <w:spacing w:val="-1"/>
          <w:lang w:val="es-MX"/>
        </w:rPr>
        <w:t>Ela</w:t>
      </w:r>
      <w:r w:rsidRPr="00B511A3">
        <w:rPr>
          <w:rFonts w:ascii="Barlow Medium" w:eastAsia="Arial" w:hAnsi="Barlow Medium" w:cs="Arial"/>
          <w:spacing w:val="1"/>
          <w:lang w:val="es-MX"/>
        </w:rPr>
        <w:t>b</w:t>
      </w:r>
      <w:r w:rsidRPr="00B511A3">
        <w:rPr>
          <w:rFonts w:ascii="Barlow Medium" w:eastAsia="Arial" w:hAnsi="Barlow Medium" w:cs="Arial"/>
          <w:spacing w:val="-1"/>
          <w:lang w:val="es-MX"/>
        </w:rPr>
        <w:t>ora</w:t>
      </w:r>
      <w:r w:rsidRPr="00B511A3">
        <w:rPr>
          <w:rFonts w:ascii="Barlow Medium" w:eastAsia="Arial" w:hAnsi="Barlow Medium" w:cs="Arial"/>
          <w:lang w:val="es-MX"/>
        </w:rPr>
        <w:t>c</w:t>
      </w:r>
      <w:r w:rsidRPr="00B511A3">
        <w:rPr>
          <w:rFonts w:ascii="Barlow Medium" w:eastAsia="Arial" w:hAnsi="Barlow Medium" w:cs="Arial"/>
          <w:spacing w:val="1"/>
          <w:lang w:val="es-MX"/>
        </w:rPr>
        <w:t>i</w:t>
      </w:r>
      <w:r w:rsidRPr="00B511A3">
        <w:rPr>
          <w:rFonts w:ascii="Barlow Medium" w:eastAsia="Arial" w:hAnsi="Barlow Medium" w:cs="Arial"/>
          <w:spacing w:val="-1"/>
          <w:lang w:val="es-MX"/>
        </w:rPr>
        <w:t>ó</w:t>
      </w:r>
      <w:r w:rsidRPr="00B511A3">
        <w:rPr>
          <w:rFonts w:ascii="Barlow Medium" w:eastAsia="Arial" w:hAnsi="Barlow Medium" w:cs="Arial"/>
          <w:lang w:val="es-MX"/>
        </w:rPr>
        <w:t>n</w:t>
      </w:r>
      <w:r w:rsidRPr="00B511A3">
        <w:rPr>
          <w:rFonts w:ascii="Barlow Medium" w:eastAsia="Arial" w:hAnsi="Barlow Medium" w:cs="Arial"/>
          <w:spacing w:val="25"/>
          <w:lang w:val="es-MX"/>
        </w:rPr>
        <w:t xml:space="preserve"> </w:t>
      </w:r>
      <w:r w:rsidRPr="00B511A3">
        <w:rPr>
          <w:rFonts w:ascii="Barlow Medium" w:eastAsia="Arial" w:hAnsi="Barlow Medium" w:cs="Arial"/>
          <w:lang w:val="es-MX"/>
        </w:rPr>
        <w:t>y</w:t>
      </w:r>
      <w:r w:rsidRPr="00B511A3">
        <w:rPr>
          <w:rFonts w:ascii="Barlow Medium" w:eastAsia="Arial" w:hAnsi="Barlow Medium" w:cs="Arial"/>
          <w:spacing w:val="29"/>
          <w:lang w:val="es-MX"/>
        </w:rPr>
        <w:t xml:space="preserve"> </w:t>
      </w:r>
      <w:r w:rsidRPr="00B511A3">
        <w:rPr>
          <w:rFonts w:ascii="Barlow Medium" w:eastAsia="Arial" w:hAnsi="Barlow Medium" w:cs="Arial"/>
          <w:spacing w:val="-1"/>
          <w:lang w:val="es-MX"/>
        </w:rPr>
        <w:t>Apr</w:t>
      </w:r>
      <w:r w:rsidRPr="00B511A3">
        <w:rPr>
          <w:rFonts w:ascii="Barlow Medium" w:eastAsia="Arial" w:hAnsi="Barlow Medium" w:cs="Arial"/>
          <w:spacing w:val="1"/>
          <w:lang w:val="es-MX"/>
        </w:rPr>
        <w:t>o</w:t>
      </w:r>
      <w:r w:rsidRPr="00B511A3">
        <w:rPr>
          <w:rFonts w:ascii="Barlow Medium" w:eastAsia="Arial" w:hAnsi="Barlow Medium" w:cs="Arial"/>
          <w:spacing w:val="-1"/>
          <w:lang w:val="es-MX"/>
        </w:rPr>
        <w:t>ba</w:t>
      </w:r>
      <w:r w:rsidRPr="00B511A3">
        <w:rPr>
          <w:rFonts w:ascii="Barlow Medium" w:eastAsia="Arial" w:hAnsi="Barlow Medium" w:cs="Arial"/>
          <w:lang w:val="es-MX"/>
        </w:rPr>
        <w:t>c</w:t>
      </w:r>
      <w:r w:rsidRPr="00B511A3">
        <w:rPr>
          <w:rFonts w:ascii="Barlow Medium" w:eastAsia="Arial" w:hAnsi="Barlow Medium" w:cs="Arial"/>
          <w:spacing w:val="-1"/>
          <w:lang w:val="es-MX"/>
        </w:rPr>
        <w:t>i</w:t>
      </w:r>
      <w:r w:rsidRPr="00B511A3">
        <w:rPr>
          <w:rFonts w:ascii="Barlow Medium" w:eastAsia="Arial" w:hAnsi="Barlow Medium" w:cs="Arial"/>
          <w:spacing w:val="1"/>
          <w:lang w:val="es-MX"/>
        </w:rPr>
        <w:t>ó</w:t>
      </w:r>
      <w:r w:rsidRPr="00B511A3">
        <w:rPr>
          <w:rFonts w:ascii="Barlow Medium" w:eastAsia="Arial" w:hAnsi="Barlow Medium" w:cs="Arial"/>
          <w:lang w:val="es-MX"/>
        </w:rPr>
        <w:t xml:space="preserve">n </w:t>
      </w:r>
      <w:r w:rsidRPr="00B511A3">
        <w:rPr>
          <w:rFonts w:ascii="Barlow Medium" w:eastAsia="Arial" w:hAnsi="Barlow Medium" w:cs="Arial"/>
          <w:spacing w:val="-1"/>
          <w:lang w:val="es-MX"/>
        </w:rPr>
        <w:t>d</w:t>
      </w:r>
      <w:r w:rsidRPr="00B511A3">
        <w:rPr>
          <w:rFonts w:ascii="Barlow Medium" w:eastAsia="Arial" w:hAnsi="Barlow Medium" w:cs="Arial"/>
          <w:lang w:val="es-MX"/>
        </w:rPr>
        <w:t xml:space="preserve">e </w:t>
      </w:r>
      <w:r w:rsidRPr="00B511A3">
        <w:rPr>
          <w:rFonts w:ascii="Barlow Medium" w:eastAsia="Arial" w:hAnsi="Barlow Medium" w:cs="Arial"/>
          <w:spacing w:val="-1"/>
          <w:lang w:val="es-MX"/>
        </w:rPr>
        <w:t>la</w:t>
      </w:r>
      <w:r w:rsidRPr="00B511A3">
        <w:rPr>
          <w:rFonts w:ascii="Barlow Medium" w:eastAsia="Arial" w:hAnsi="Barlow Medium" w:cs="Arial"/>
          <w:lang w:val="es-MX"/>
        </w:rPr>
        <w:t xml:space="preserve">s </w:t>
      </w:r>
      <w:r w:rsidRPr="00B511A3">
        <w:rPr>
          <w:rFonts w:ascii="Barlow Medium" w:eastAsia="Arial" w:hAnsi="Barlow Medium" w:cs="Arial"/>
          <w:spacing w:val="-1"/>
          <w:lang w:val="es-MX"/>
        </w:rPr>
        <w:t>R</w:t>
      </w:r>
      <w:r w:rsidRPr="00B511A3">
        <w:rPr>
          <w:rFonts w:ascii="Barlow Medium" w:eastAsia="Arial" w:hAnsi="Barlow Medium" w:cs="Arial"/>
          <w:spacing w:val="2"/>
          <w:lang w:val="es-MX"/>
        </w:rPr>
        <w:t>e</w:t>
      </w:r>
      <w:r w:rsidRPr="00B511A3">
        <w:rPr>
          <w:rFonts w:ascii="Barlow Medium" w:eastAsia="Arial" w:hAnsi="Barlow Medium" w:cs="Arial"/>
          <w:spacing w:val="-1"/>
          <w:lang w:val="es-MX"/>
        </w:rPr>
        <w:t>gla</w:t>
      </w:r>
      <w:r w:rsidRPr="00B511A3">
        <w:rPr>
          <w:rFonts w:ascii="Barlow Medium" w:eastAsia="Arial" w:hAnsi="Barlow Medium" w:cs="Arial"/>
          <w:lang w:val="es-MX"/>
        </w:rPr>
        <w:t xml:space="preserve">s </w:t>
      </w:r>
      <w:r w:rsidRPr="00B511A3">
        <w:rPr>
          <w:rFonts w:ascii="Barlow Medium" w:eastAsia="Arial" w:hAnsi="Barlow Medium" w:cs="Arial"/>
          <w:spacing w:val="1"/>
          <w:lang w:val="es-MX"/>
        </w:rPr>
        <w:t>d</w:t>
      </w:r>
      <w:r w:rsidRPr="00B511A3">
        <w:rPr>
          <w:rFonts w:ascii="Barlow Medium" w:eastAsia="Arial" w:hAnsi="Barlow Medium" w:cs="Arial"/>
          <w:lang w:val="es-MX"/>
        </w:rPr>
        <w:t>e O</w:t>
      </w:r>
      <w:r w:rsidRPr="00B511A3">
        <w:rPr>
          <w:rFonts w:ascii="Barlow Medium" w:eastAsia="Arial" w:hAnsi="Barlow Medium" w:cs="Arial"/>
          <w:spacing w:val="-1"/>
          <w:lang w:val="es-MX"/>
        </w:rPr>
        <w:t>per</w:t>
      </w:r>
      <w:r w:rsidRPr="00B511A3">
        <w:rPr>
          <w:rFonts w:ascii="Barlow Medium" w:eastAsia="Arial" w:hAnsi="Barlow Medium" w:cs="Arial"/>
          <w:spacing w:val="1"/>
          <w:lang w:val="es-MX"/>
        </w:rPr>
        <w:t>a</w:t>
      </w:r>
      <w:r w:rsidRPr="00B511A3">
        <w:rPr>
          <w:rFonts w:ascii="Barlow Medium" w:eastAsia="Arial" w:hAnsi="Barlow Medium" w:cs="Arial"/>
          <w:spacing w:val="-1"/>
          <w:lang w:val="es-MX"/>
        </w:rPr>
        <w:t>c</w:t>
      </w:r>
      <w:r w:rsidRPr="00B511A3">
        <w:rPr>
          <w:rFonts w:ascii="Barlow Medium" w:eastAsia="Arial" w:hAnsi="Barlow Medium" w:cs="Arial"/>
          <w:spacing w:val="1"/>
          <w:lang w:val="es-MX"/>
        </w:rPr>
        <w:t>i</w:t>
      </w:r>
      <w:r w:rsidRPr="00B511A3">
        <w:rPr>
          <w:rFonts w:ascii="Barlow Medium" w:eastAsia="Arial" w:hAnsi="Barlow Medium" w:cs="Arial"/>
          <w:spacing w:val="-1"/>
          <w:lang w:val="es-MX"/>
        </w:rPr>
        <w:t>ó</w:t>
      </w:r>
      <w:r w:rsidRPr="00B511A3">
        <w:rPr>
          <w:rFonts w:ascii="Barlow Medium" w:eastAsia="Arial" w:hAnsi="Barlow Medium" w:cs="Arial"/>
          <w:lang w:val="es-MX"/>
        </w:rPr>
        <w:t>n</w:t>
      </w:r>
      <w:r w:rsidRPr="00B511A3">
        <w:rPr>
          <w:rFonts w:ascii="Barlow Medium" w:eastAsia="Arial" w:hAnsi="Barlow Medium" w:cs="Arial"/>
          <w:spacing w:val="23"/>
          <w:lang w:val="es-MX"/>
        </w:rPr>
        <w:t xml:space="preserve"> </w:t>
      </w:r>
      <w:r w:rsidRPr="00B511A3">
        <w:rPr>
          <w:rFonts w:ascii="Barlow Medium" w:eastAsia="Arial" w:hAnsi="Barlow Medium" w:cs="Arial"/>
          <w:spacing w:val="-1"/>
          <w:lang w:val="es-MX"/>
        </w:rPr>
        <w:t>d</w:t>
      </w:r>
      <w:r w:rsidRPr="00B511A3">
        <w:rPr>
          <w:rFonts w:ascii="Barlow Medium" w:eastAsia="Arial" w:hAnsi="Barlow Medium" w:cs="Arial"/>
          <w:lang w:val="es-MX"/>
        </w:rPr>
        <w:t xml:space="preserve">e </w:t>
      </w:r>
      <w:r w:rsidRPr="00B511A3">
        <w:rPr>
          <w:rFonts w:ascii="Barlow Medium" w:eastAsia="Arial" w:hAnsi="Barlow Medium" w:cs="Arial"/>
          <w:spacing w:val="2"/>
          <w:lang w:val="es-MX"/>
        </w:rPr>
        <w:t>l</w:t>
      </w:r>
      <w:r w:rsidRPr="00B511A3">
        <w:rPr>
          <w:rFonts w:ascii="Barlow Medium" w:eastAsia="Arial" w:hAnsi="Barlow Medium" w:cs="Arial"/>
          <w:spacing w:val="1"/>
          <w:lang w:val="es-MX"/>
        </w:rPr>
        <w:t>o</w:t>
      </w:r>
      <w:r w:rsidRPr="00B511A3">
        <w:rPr>
          <w:rFonts w:ascii="Barlow Medium" w:eastAsia="Arial" w:hAnsi="Barlow Medium" w:cs="Arial"/>
          <w:lang w:val="es-MX"/>
        </w:rPr>
        <w:t xml:space="preserve">s </w:t>
      </w:r>
      <w:r w:rsidRPr="00B511A3">
        <w:rPr>
          <w:rFonts w:ascii="Barlow Medium" w:eastAsia="Arial" w:hAnsi="Barlow Medium" w:cs="Arial"/>
          <w:position w:val="-1"/>
          <w:lang w:val="es-MX"/>
        </w:rPr>
        <w:t>Prog</w:t>
      </w:r>
      <w:r w:rsidRPr="00B511A3">
        <w:rPr>
          <w:rFonts w:ascii="Barlow Medium" w:eastAsia="Arial" w:hAnsi="Barlow Medium" w:cs="Arial"/>
          <w:spacing w:val="1"/>
          <w:position w:val="-1"/>
          <w:lang w:val="es-MX"/>
        </w:rPr>
        <w:t>ra</w:t>
      </w:r>
      <w:r w:rsidRPr="00B511A3">
        <w:rPr>
          <w:rFonts w:ascii="Barlow Medium" w:eastAsia="Arial" w:hAnsi="Barlow Medium" w:cs="Arial"/>
          <w:spacing w:val="-1"/>
          <w:position w:val="-1"/>
          <w:lang w:val="es-MX"/>
        </w:rPr>
        <w:t>m</w:t>
      </w:r>
      <w:r w:rsidRPr="00B511A3">
        <w:rPr>
          <w:rFonts w:ascii="Barlow Medium" w:eastAsia="Arial" w:hAnsi="Barlow Medium" w:cs="Arial"/>
          <w:position w:val="-1"/>
          <w:lang w:val="es-MX"/>
        </w:rPr>
        <w:t>as</w:t>
      </w:r>
      <w:r w:rsidRPr="00B511A3">
        <w:rPr>
          <w:rFonts w:ascii="Barlow Medium" w:eastAsia="Arial" w:hAnsi="Barlow Medium" w:cs="Arial"/>
          <w:spacing w:val="-9"/>
          <w:position w:val="-1"/>
          <w:lang w:val="es-MX"/>
        </w:rPr>
        <w:t xml:space="preserve"> </w:t>
      </w:r>
      <w:r w:rsidRPr="00B511A3">
        <w:rPr>
          <w:rFonts w:ascii="Barlow Medium" w:eastAsia="Arial" w:hAnsi="Barlow Medium" w:cs="Arial"/>
          <w:position w:val="-1"/>
          <w:lang w:val="es-MX"/>
        </w:rPr>
        <w:t>P</w:t>
      </w:r>
      <w:r w:rsidRPr="00B511A3">
        <w:rPr>
          <w:rFonts w:ascii="Barlow Medium" w:eastAsia="Arial" w:hAnsi="Barlow Medium" w:cs="Arial"/>
          <w:spacing w:val="1"/>
          <w:position w:val="-1"/>
          <w:lang w:val="es-MX"/>
        </w:rPr>
        <w:t>res</w:t>
      </w:r>
      <w:r w:rsidRPr="00B511A3">
        <w:rPr>
          <w:rFonts w:ascii="Barlow Medium" w:eastAsia="Arial" w:hAnsi="Barlow Medium" w:cs="Arial"/>
          <w:position w:val="-1"/>
          <w:lang w:val="es-MX"/>
        </w:rPr>
        <w:t>upue</w:t>
      </w:r>
      <w:r w:rsidRPr="00B511A3">
        <w:rPr>
          <w:rFonts w:ascii="Barlow Medium" w:eastAsia="Arial" w:hAnsi="Barlow Medium" w:cs="Arial"/>
          <w:spacing w:val="1"/>
          <w:position w:val="-1"/>
          <w:lang w:val="es-MX"/>
        </w:rPr>
        <w:t>s</w:t>
      </w:r>
      <w:r w:rsidRPr="00B511A3">
        <w:rPr>
          <w:rFonts w:ascii="Barlow Medium" w:eastAsia="Arial" w:hAnsi="Barlow Medium" w:cs="Arial"/>
          <w:position w:val="-1"/>
          <w:lang w:val="es-MX"/>
        </w:rPr>
        <w:t>ta</w:t>
      </w:r>
      <w:r w:rsidRPr="00B511A3">
        <w:rPr>
          <w:rFonts w:ascii="Barlow Medium" w:eastAsia="Arial" w:hAnsi="Barlow Medium" w:cs="Arial"/>
          <w:spacing w:val="1"/>
          <w:position w:val="-1"/>
          <w:lang w:val="es-MX"/>
        </w:rPr>
        <w:t>r</w:t>
      </w:r>
      <w:r w:rsidRPr="00B511A3">
        <w:rPr>
          <w:rFonts w:ascii="Barlow Medium" w:eastAsia="Arial" w:hAnsi="Barlow Medium" w:cs="Arial"/>
          <w:position w:val="-1"/>
          <w:lang w:val="es-MX"/>
        </w:rPr>
        <w:t xml:space="preserve">ios. Acuerdo SAF 103/2017 por el que se modifica el Acuerdo SAF 39/2015, </w:t>
      </w:r>
      <w:r w:rsidRPr="00B511A3">
        <w:rPr>
          <w:rFonts w:ascii="Barlow Medium" w:eastAsia="Arial" w:hAnsi="Barlow Medium" w:cs="Arial"/>
          <w:spacing w:val="-1"/>
          <w:lang w:val="es-MX"/>
        </w:rPr>
        <w:t>publicado en el Diario Oficial del Estado el 16 de octubre de 2017</w:t>
      </w:r>
      <w:r w:rsidRPr="00B511A3">
        <w:rPr>
          <w:rFonts w:ascii="Barlow Medium" w:eastAsia="Arial" w:hAnsi="Barlow Medium" w:cs="Arial"/>
          <w:position w:val="-1"/>
          <w:lang w:val="es-MX"/>
        </w:rPr>
        <w:t>.</w:t>
      </w:r>
    </w:p>
  </w:footnote>
  <w:footnote w:id="12">
    <w:p w:rsidR="008047A3" w:rsidRPr="00B511A3" w:rsidRDefault="008047A3" w:rsidP="004850C2">
      <w:pPr>
        <w:pStyle w:val="Textonotapie"/>
        <w:rPr>
          <w:rFonts w:ascii="Barlow Light" w:hAnsi="Barlow Light" w:cs="Arial"/>
          <w:sz w:val="18"/>
          <w:szCs w:val="18"/>
          <w:lang w:val="es-MX"/>
        </w:rPr>
      </w:pPr>
      <w:r>
        <w:rPr>
          <w:rStyle w:val="Refdenotaalpie"/>
          <w:rFonts w:ascii="Barlow Light" w:hAnsi="Barlow Light" w:cs="Arial"/>
          <w:sz w:val="18"/>
          <w:szCs w:val="18"/>
        </w:rPr>
        <w:footnoteRef/>
      </w:r>
      <w:r w:rsidRPr="00B511A3">
        <w:rPr>
          <w:rFonts w:ascii="Barlow Light" w:hAnsi="Barlow Light" w:cs="Arial"/>
          <w:sz w:val="18"/>
          <w:szCs w:val="18"/>
          <w:lang w:val="es-MX"/>
        </w:rPr>
        <w:t xml:space="preserve"> </w:t>
      </w:r>
      <w:r w:rsidRPr="00B511A3">
        <w:rPr>
          <w:rFonts w:ascii="Barlow Medium" w:hAnsi="Barlow Medium" w:cs="Arial"/>
          <w:szCs w:val="18"/>
          <w:lang w:val="es-MX"/>
        </w:rPr>
        <w:t>INMUJERES, (2007). Derechos Humanos de las Mujeres.</w:t>
      </w:r>
      <w:r w:rsidRPr="00B511A3">
        <w:rPr>
          <w:rFonts w:ascii="Barlow Light" w:hAnsi="Barlow Light" w:cs="Arial"/>
          <w:szCs w:val="18"/>
          <w:lang w:val="es-MX"/>
        </w:rPr>
        <w:t xml:space="preserve"> </w:t>
      </w:r>
    </w:p>
  </w:footnote>
  <w:footnote w:id="13">
    <w:p w:rsidR="008047A3" w:rsidRPr="00B511A3" w:rsidRDefault="008047A3" w:rsidP="004850C2">
      <w:pPr>
        <w:pStyle w:val="Textonotapie"/>
        <w:jc w:val="both"/>
        <w:rPr>
          <w:rFonts w:ascii="Barlow Medium" w:hAnsi="Barlow Medium" w:cs="Arial"/>
          <w:szCs w:val="18"/>
          <w:lang w:val="es-MX"/>
        </w:rPr>
      </w:pPr>
      <w:r>
        <w:rPr>
          <w:rStyle w:val="Refdenotaalpie"/>
          <w:rFonts w:ascii="Barlow Medium" w:hAnsi="Barlow Medium" w:cs="Arial"/>
          <w:szCs w:val="18"/>
        </w:rPr>
        <w:footnoteRef/>
      </w:r>
      <w:r w:rsidRPr="00B511A3">
        <w:rPr>
          <w:rFonts w:ascii="Barlow Medium" w:hAnsi="Barlow Medium" w:cs="Arial"/>
          <w:szCs w:val="18"/>
          <w:lang w:val="es-MX"/>
        </w:rPr>
        <w:t xml:space="preserve"> 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14">
    <w:p w:rsidR="008047A3" w:rsidRPr="00B511A3" w:rsidRDefault="008047A3" w:rsidP="004850C2">
      <w:pPr>
        <w:pStyle w:val="Textonotapie"/>
        <w:jc w:val="both"/>
        <w:rPr>
          <w:rFonts w:ascii="Barlow Medium" w:hAnsi="Barlow Medium" w:cs="Arial"/>
          <w:szCs w:val="18"/>
          <w:lang w:val="es-MX"/>
        </w:rPr>
      </w:pPr>
      <w:r>
        <w:rPr>
          <w:rStyle w:val="Refdenotaalpie"/>
          <w:rFonts w:ascii="Barlow Medium" w:hAnsi="Barlow Medium" w:cs="Arial"/>
          <w:szCs w:val="18"/>
        </w:rPr>
        <w:footnoteRef/>
      </w:r>
      <w:r w:rsidRPr="00B511A3">
        <w:rPr>
          <w:rFonts w:ascii="Barlow Medium" w:hAnsi="Barlow Medium" w:cs="Arial"/>
          <w:szCs w:val="18"/>
          <w:lang w:val="es-MX"/>
        </w:rPr>
        <w:t xml:space="preserve"> Unicef (2011). Inversión pública en la infancia y la adolescencia en México. México: Unicef México.</w:t>
      </w:r>
    </w:p>
  </w:footnote>
  <w:footnote w:id="15">
    <w:p w:rsidR="008047A3" w:rsidRPr="00B511A3" w:rsidRDefault="008047A3" w:rsidP="004850C2">
      <w:pPr>
        <w:pStyle w:val="Textonotapie"/>
        <w:jc w:val="both"/>
        <w:rPr>
          <w:lang w:val="es-MX"/>
        </w:rPr>
      </w:pPr>
      <w:r>
        <w:rPr>
          <w:rStyle w:val="Refdenotaalpie"/>
          <w:rFonts w:ascii="Barlow Medium" w:hAnsi="Barlow Medium" w:cs="Arial"/>
          <w:szCs w:val="18"/>
        </w:rPr>
        <w:footnoteRef/>
      </w:r>
      <w:r w:rsidRPr="00B511A3">
        <w:rPr>
          <w:rFonts w:ascii="Barlow Medium" w:hAnsi="Barlow Medium" w:cs="Arial"/>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16">
    <w:p w:rsidR="008047A3" w:rsidRDefault="008047A3" w:rsidP="004850C2">
      <w:pPr>
        <w:jc w:val="both"/>
        <w:rPr>
          <w:rFonts w:ascii="Barlow Medium" w:hAnsi="Barlow Medium"/>
        </w:rPr>
      </w:pPr>
      <w:r>
        <w:rPr>
          <w:rStyle w:val="Refdenotaalpie"/>
          <w:rFonts w:ascii="Barlow Light" w:hAnsi="Barlow Light" w:cs="Arial"/>
          <w:sz w:val="18"/>
          <w:szCs w:val="18"/>
        </w:rPr>
        <w:footnoteRef/>
      </w:r>
      <w:r>
        <w:rPr>
          <w:rFonts w:ascii="Barlow Light" w:hAnsi="Barlow Light" w:cs="Arial"/>
          <w:sz w:val="18"/>
          <w:szCs w:val="18"/>
        </w:rPr>
        <w:t xml:space="preserve"> </w:t>
      </w:r>
      <w:r>
        <w:rPr>
          <w:rFonts w:ascii="Barlow Medium" w:eastAsia="Times New Roman" w:hAnsi="Barlow Medium" w:cs="Arial"/>
          <w:color w:val="222222"/>
          <w:sz w:val="20"/>
          <w:szCs w:val="18"/>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 w:id="17">
    <w:p w:rsidR="008047A3" w:rsidRPr="00B511A3" w:rsidRDefault="008047A3" w:rsidP="004850C2">
      <w:pPr>
        <w:pStyle w:val="Textonotapie"/>
        <w:rPr>
          <w:rFonts w:ascii="Arial" w:hAnsi="Arial" w:cs="Arial"/>
          <w:sz w:val="18"/>
          <w:szCs w:val="18"/>
          <w:lang w:val="es-MX"/>
        </w:rPr>
      </w:pPr>
      <w:r>
        <w:rPr>
          <w:rStyle w:val="Refdenotaalpie"/>
          <w:rFonts w:ascii="Barlow Medium" w:hAnsi="Barlow Medium" w:cs="Arial"/>
          <w:szCs w:val="18"/>
        </w:rPr>
        <w:footnoteRef/>
      </w:r>
      <w:r w:rsidRPr="00B511A3">
        <w:rPr>
          <w:rFonts w:ascii="Barlow Medium" w:hAnsi="Barlow Medium" w:cs="Arial"/>
          <w:szCs w:val="18"/>
          <w:lang w:val="es-MX"/>
        </w:rPr>
        <w:t xml:space="preserve"> El informe completo, que incluye la manera en la que se integró, se puede consultar en la siguiente liga: https://www.gob.mx/cms/uploads/attachment/file/255369/Informe_AVGM_Yucata_n_-1.pdf</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7E0A32">
    <w:pPr>
      <w:pStyle w:val="Encabezado"/>
    </w:pPr>
    <w:sdt>
      <w:sdtPr>
        <w:id w:val="383000357"/>
        <w:placeholder>
          <w:docPart w:val="0DA0EB20F56816479969A55D850A82C8"/>
        </w:placeholder>
        <w:temporary/>
        <w:showingPlcHdr/>
      </w:sdtPr>
      <w:sdtContent>
        <w:r w:rsidR="008047A3">
          <w:rPr>
            <w:lang w:val="es-ES"/>
          </w:rPr>
          <w:t>[Escriba texto]</w:t>
        </w:r>
      </w:sdtContent>
    </w:sdt>
    <w:r w:rsidR="008047A3">
      <w:ptab w:relativeTo="margin" w:alignment="center" w:leader="none"/>
    </w:r>
    <w:sdt>
      <w:sdtPr>
        <w:id w:val="736830723"/>
        <w:placeholder>
          <w:docPart w:val="6B1EEBAFF7AEF84E8CDB9261B7EF35E8"/>
        </w:placeholder>
        <w:temporary/>
        <w:showingPlcHdr/>
      </w:sdtPr>
      <w:sdtContent>
        <w:r w:rsidR="008047A3">
          <w:rPr>
            <w:lang w:val="es-ES"/>
          </w:rPr>
          <w:t>[Escriba texto]</w:t>
        </w:r>
      </w:sdtContent>
    </w:sdt>
    <w:r w:rsidR="008047A3">
      <w:ptab w:relativeTo="margin" w:alignment="right" w:leader="none"/>
    </w:r>
    <w:sdt>
      <w:sdtPr>
        <w:id w:val="1140156006"/>
        <w:placeholder>
          <w:docPart w:val="9A817A72C6CEE940B8153C7768F71DDC"/>
        </w:placeholder>
        <w:temporary/>
        <w:showingPlcHdr/>
      </w:sdtPr>
      <w:sdtContent>
        <w:r w:rsidR="008047A3">
          <w:rPr>
            <w:lang w:val="es-ES"/>
          </w:rPr>
          <w:t>[Escriba texto]</w:t>
        </w:r>
      </w:sdtContent>
    </w:sdt>
  </w:p>
  <w:p w:rsidR="008047A3" w:rsidRDefault="008047A3">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8047A3">
    <w:pPr>
      <w:pStyle w:val="Encabezado"/>
    </w:pPr>
    <w:r w:rsidRPr="00C966E4">
      <w:rPr>
        <w:noProof/>
        <w:lang w:val="es-MX" w:eastAsia="es-MX"/>
      </w:rPr>
      <w:drawing>
        <wp:anchor distT="0" distB="0" distL="114300" distR="114300" simplePos="0" relativeHeight="251662336" behindDoc="1" locked="0" layoutInCell="1" allowOverlap="1">
          <wp:simplePos x="0" y="0"/>
          <wp:positionH relativeFrom="column">
            <wp:posOffset>5506720</wp:posOffset>
          </wp:positionH>
          <wp:positionV relativeFrom="paragraph">
            <wp:posOffset>0</wp:posOffset>
          </wp:positionV>
          <wp:extent cx="1282700" cy="1023620"/>
          <wp:effectExtent l="0" t="0" r="0" b="508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peleria_hoja_membretada_SGG_encabezado.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434"/>
                  <a:stretch/>
                </pic:blipFill>
                <pic:spPr bwMode="auto">
                  <a:xfrm>
                    <a:off x="0" y="0"/>
                    <a:ext cx="1282700" cy="102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r w:rsidRPr="00C966E4">
      <w:rPr>
        <w:noProof/>
        <w:lang w:val="es-MX" w:eastAsia="es-MX"/>
      </w:rPr>
      <w:drawing>
        <wp:anchor distT="0" distB="0" distL="114300" distR="114300" simplePos="0" relativeHeight="251661312" behindDoc="1" locked="0" layoutInCell="1" allowOverlap="1">
          <wp:simplePos x="0" y="0"/>
          <wp:positionH relativeFrom="column">
            <wp:posOffset>-728980</wp:posOffset>
          </wp:positionH>
          <wp:positionV relativeFrom="paragraph">
            <wp:posOffset>0</wp:posOffset>
          </wp:positionV>
          <wp:extent cx="5638800" cy="1023620"/>
          <wp:effectExtent l="0" t="0" r="0" b="508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peleria_hoja_membretada_SGG_encabezado.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382"/>
                  <a:stretch/>
                </pic:blipFill>
                <pic:spPr bwMode="auto">
                  <a:xfrm>
                    <a:off x="0" y="0"/>
                    <a:ext cx="5638800" cy="102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7E0A32">
    <w:pPr>
      <w:pStyle w:val="Encabezado"/>
    </w:pPr>
    <w:sdt>
      <w:sdtPr>
        <w:id w:val="246927911"/>
        <w:placeholder>
          <w:docPart w:val="0DA0EB20F56816479969A55D850A82C8"/>
        </w:placeholder>
        <w:temporary/>
        <w:showingPlcHdr/>
      </w:sdtPr>
      <w:sdtContent>
        <w:r w:rsidR="008047A3">
          <w:rPr>
            <w:lang w:val="es-ES"/>
          </w:rPr>
          <w:t>[Escriba texto]</w:t>
        </w:r>
      </w:sdtContent>
    </w:sdt>
    <w:r w:rsidR="008047A3">
      <w:ptab w:relativeTo="margin" w:alignment="center" w:leader="none"/>
    </w:r>
    <w:sdt>
      <w:sdtPr>
        <w:id w:val="-1852644826"/>
        <w:placeholder>
          <w:docPart w:val="6B1EEBAFF7AEF84E8CDB9261B7EF35E8"/>
        </w:placeholder>
        <w:temporary/>
        <w:showingPlcHdr/>
      </w:sdtPr>
      <w:sdtContent>
        <w:r w:rsidR="008047A3">
          <w:rPr>
            <w:lang w:val="es-ES"/>
          </w:rPr>
          <w:t>[Escriba texto]</w:t>
        </w:r>
      </w:sdtContent>
    </w:sdt>
    <w:r w:rsidR="008047A3">
      <w:ptab w:relativeTo="margin" w:alignment="right" w:leader="none"/>
    </w:r>
    <w:sdt>
      <w:sdtPr>
        <w:id w:val="675770717"/>
        <w:placeholder>
          <w:docPart w:val="9A817A72C6CEE940B8153C7768F71DDC"/>
        </w:placeholder>
        <w:temporary/>
        <w:showingPlcHdr/>
      </w:sdtPr>
      <w:sdtContent>
        <w:r w:rsidR="008047A3">
          <w:rPr>
            <w:lang w:val="es-ES"/>
          </w:rPr>
          <w:t>[Escriba texto]</w:t>
        </w:r>
      </w:sdtContent>
    </w:sdt>
  </w:p>
  <w:p w:rsidR="008047A3" w:rsidRDefault="008047A3">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47A3" w:rsidRDefault="008047A3">
    <w:pPr>
      <w:pStyle w:val="Encabezado"/>
    </w:pPr>
    <w:r w:rsidRPr="00C966E4">
      <w:rPr>
        <w:noProof/>
        <w:lang w:val="es-MX" w:eastAsia="es-MX"/>
      </w:rPr>
      <w:drawing>
        <wp:anchor distT="0" distB="0" distL="114300" distR="114300" simplePos="0" relativeHeight="251659264" behindDoc="1" locked="0" layoutInCell="1" allowOverlap="1">
          <wp:simplePos x="0" y="0"/>
          <wp:positionH relativeFrom="column">
            <wp:posOffset>5506720</wp:posOffset>
          </wp:positionH>
          <wp:positionV relativeFrom="paragraph">
            <wp:posOffset>0</wp:posOffset>
          </wp:positionV>
          <wp:extent cx="1282700" cy="1023620"/>
          <wp:effectExtent l="0" t="0" r="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peleria_hoja_membretada_SGG_encabezado.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434"/>
                  <a:stretch/>
                </pic:blipFill>
                <pic:spPr bwMode="auto">
                  <a:xfrm>
                    <a:off x="0" y="0"/>
                    <a:ext cx="1282700" cy="102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r w:rsidRPr="00C966E4">
      <w:rPr>
        <w:noProof/>
        <w:lang w:val="es-MX" w:eastAsia="es-MX"/>
      </w:rPr>
      <w:drawing>
        <wp:anchor distT="0" distB="0" distL="114300" distR="114300" simplePos="0" relativeHeight="251657216" behindDoc="1" locked="0" layoutInCell="1" allowOverlap="1">
          <wp:simplePos x="0" y="0"/>
          <wp:positionH relativeFrom="column">
            <wp:posOffset>-728980</wp:posOffset>
          </wp:positionH>
          <wp:positionV relativeFrom="paragraph">
            <wp:posOffset>0</wp:posOffset>
          </wp:positionV>
          <wp:extent cx="5638800" cy="1023620"/>
          <wp:effectExtent l="0" t="0" r="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peleria_hoja_membretada_SGG_encabezado.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382"/>
                  <a:stretch/>
                </pic:blipFill>
                <pic:spPr bwMode="auto">
                  <a:xfrm>
                    <a:off x="0" y="0"/>
                    <a:ext cx="5638800" cy="102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34599"/>
    <w:multiLevelType w:val="hybridMultilevel"/>
    <w:tmpl w:val="556432AC"/>
    <w:lvl w:ilvl="0" w:tplc="91AAD1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670224F"/>
    <w:multiLevelType w:val="hybridMultilevel"/>
    <w:tmpl w:val="B4361EA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72718D9"/>
    <w:multiLevelType w:val="hybridMultilevel"/>
    <w:tmpl w:val="D68AFD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nsid w:val="0D1B0743"/>
    <w:multiLevelType w:val="hybridMultilevel"/>
    <w:tmpl w:val="9816F3EE"/>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0F765B2F"/>
    <w:multiLevelType w:val="hybridMultilevel"/>
    <w:tmpl w:val="FE00DEE8"/>
    <w:lvl w:ilvl="0" w:tplc="5C92DAA2">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nsid w:val="105830E4"/>
    <w:multiLevelType w:val="hybridMultilevel"/>
    <w:tmpl w:val="4CF259A6"/>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76B279A"/>
    <w:multiLevelType w:val="hybridMultilevel"/>
    <w:tmpl w:val="D24A0D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8">
    <w:nsid w:val="197A06DD"/>
    <w:multiLevelType w:val="hybridMultilevel"/>
    <w:tmpl w:val="E7A8AA74"/>
    <w:lvl w:ilvl="0" w:tplc="080A000F">
      <w:start w:val="1"/>
      <w:numFmt w:val="decimal"/>
      <w:lvlText w:val="%1."/>
      <w:lvlJc w:val="left"/>
      <w:pPr>
        <w:ind w:left="360" w:hanging="360"/>
      </w:pPr>
      <w:rPr>
        <w:rFonts w:hint="default"/>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nsid w:val="1AD630AC"/>
    <w:multiLevelType w:val="hybridMultilevel"/>
    <w:tmpl w:val="9816F3EE"/>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219D3AEF"/>
    <w:multiLevelType w:val="hybridMultilevel"/>
    <w:tmpl w:val="42A8AB8A"/>
    <w:lvl w:ilvl="0" w:tplc="080A001B">
      <w:start w:val="1"/>
      <w:numFmt w:val="low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nsid w:val="240B0558"/>
    <w:multiLevelType w:val="hybridMultilevel"/>
    <w:tmpl w:val="5F38628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24797A14"/>
    <w:multiLevelType w:val="hybridMultilevel"/>
    <w:tmpl w:val="8D3489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6432531"/>
    <w:multiLevelType w:val="hybridMultilevel"/>
    <w:tmpl w:val="223246D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265541B6"/>
    <w:multiLevelType w:val="hybridMultilevel"/>
    <w:tmpl w:val="37AAC796"/>
    <w:lvl w:ilvl="0" w:tplc="AE28C2B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7F87D7F"/>
    <w:multiLevelType w:val="hybridMultilevel"/>
    <w:tmpl w:val="EB4C456C"/>
    <w:lvl w:ilvl="0" w:tplc="AE28C2B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F686B51"/>
    <w:multiLevelType w:val="hybridMultilevel"/>
    <w:tmpl w:val="EB26A9AE"/>
    <w:lvl w:ilvl="0" w:tplc="1074AD06">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4A02EF8"/>
    <w:multiLevelType w:val="hybridMultilevel"/>
    <w:tmpl w:val="2ABA915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35FC3E73"/>
    <w:multiLevelType w:val="hybridMultilevel"/>
    <w:tmpl w:val="F1A2789E"/>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9">
    <w:nsid w:val="36BF75D1"/>
    <w:multiLevelType w:val="hybridMultilevel"/>
    <w:tmpl w:val="1C6A4F56"/>
    <w:lvl w:ilvl="0" w:tplc="EB66510C">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A8255B4"/>
    <w:multiLevelType w:val="hybridMultilevel"/>
    <w:tmpl w:val="37AAC796"/>
    <w:lvl w:ilvl="0" w:tplc="AE28C2B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DCD2D8D"/>
    <w:multiLevelType w:val="hybridMultilevel"/>
    <w:tmpl w:val="9816F3EE"/>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nsid w:val="45D714EE"/>
    <w:multiLevelType w:val="hybridMultilevel"/>
    <w:tmpl w:val="750269F8"/>
    <w:lvl w:ilvl="0" w:tplc="DBE437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478D1F20"/>
    <w:multiLevelType w:val="hybridMultilevel"/>
    <w:tmpl w:val="9AB0DAF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nsid w:val="483E2640"/>
    <w:multiLevelType w:val="hybridMultilevel"/>
    <w:tmpl w:val="F1C0E80C"/>
    <w:lvl w:ilvl="0" w:tplc="C188F25C">
      <w:start w:val="1"/>
      <w:numFmt w:val="upperRoman"/>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6">
    <w:nsid w:val="4EA30F1D"/>
    <w:multiLevelType w:val="hybridMultilevel"/>
    <w:tmpl w:val="E286DC88"/>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8">
    <w:nsid w:val="532C7C4F"/>
    <w:multiLevelType w:val="hybridMultilevel"/>
    <w:tmpl w:val="6B28412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4C5579E"/>
    <w:multiLevelType w:val="hybridMultilevel"/>
    <w:tmpl w:val="2578F098"/>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6570DF5"/>
    <w:multiLevelType w:val="hybridMultilevel"/>
    <w:tmpl w:val="6074BD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1">
    <w:nsid w:val="5D956E3D"/>
    <w:multiLevelType w:val="hybridMultilevel"/>
    <w:tmpl w:val="B60A0C5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nsid w:val="62B21C1A"/>
    <w:multiLevelType w:val="hybridMultilevel"/>
    <w:tmpl w:val="6D6E9792"/>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nsid w:val="630D3CD9"/>
    <w:multiLevelType w:val="hybridMultilevel"/>
    <w:tmpl w:val="2D6266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67E33583"/>
    <w:multiLevelType w:val="hybridMultilevel"/>
    <w:tmpl w:val="53983ED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nsid w:val="683A5508"/>
    <w:multiLevelType w:val="hybridMultilevel"/>
    <w:tmpl w:val="D8608D2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nsid w:val="6CA7178C"/>
    <w:multiLevelType w:val="hybridMultilevel"/>
    <w:tmpl w:val="004C9D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77A548B6"/>
    <w:multiLevelType w:val="hybridMultilevel"/>
    <w:tmpl w:val="FE00DEE8"/>
    <w:lvl w:ilvl="0" w:tplc="5C92DAA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8">
    <w:nsid w:val="78C7432E"/>
    <w:multiLevelType w:val="hybridMultilevel"/>
    <w:tmpl w:val="E78699B2"/>
    <w:lvl w:ilvl="0" w:tplc="080A001B">
      <w:start w:val="1"/>
      <w:numFmt w:val="lowerRoman"/>
      <w:lvlText w:val="%1."/>
      <w:lvlJc w:val="right"/>
      <w:pPr>
        <w:ind w:left="720" w:hanging="360"/>
      </w:p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39">
    <w:nsid w:val="7C517A51"/>
    <w:multiLevelType w:val="hybridMultilevel"/>
    <w:tmpl w:val="F9A027D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nsid w:val="7F0116BD"/>
    <w:multiLevelType w:val="hybridMultilevel"/>
    <w:tmpl w:val="E7AE942E"/>
    <w:lvl w:ilvl="0" w:tplc="080A001B">
      <w:start w:val="1"/>
      <w:numFmt w:val="low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1">
    <w:nsid w:val="7F401210"/>
    <w:multiLevelType w:val="hybridMultilevel"/>
    <w:tmpl w:val="558EA3CA"/>
    <w:lvl w:ilvl="0" w:tplc="1936928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FB401AB"/>
    <w:multiLevelType w:val="hybridMultilevel"/>
    <w:tmpl w:val="3E3048B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29"/>
  </w:num>
  <w:num w:numId="4">
    <w:abstractNumId w:val="23"/>
  </w:num>
  <w:num w:numId="5">
    <w:abstractNumId w:val="41"/>
  </w:num>
  <w:num w:numId="6">
    <w:abstractNumId w:val="36"/>
  </w:num>
  <w:num w:numId="7">
    <w:abstractNumId w:val="37"/>
  </w:num>
  <w:num w:numId="8">
    <w:abstractNumId w:val="4"/>
  </w:num>
  <w:num w:numId="9">
    <w:abstractNumId w:val="19"/>
  </w:num>
  <w:num w:numId="10">
    <w:abstractNumId w:val="12"/>
  </w:num>
  <w:num w:numId="11">
    <w:abstractNumId w:val="33"/>
  </w:num>
  <w:num w:numId="12">
    <w:abstractNumId w:val="16"/>
  </w:num>
  <w:num w:numId="13">
    <w:abstractNumId w:val="1"/>
  </w:num>
  <w:num w:numId="14">
    <w:abstractNumId w:val="35"/>
  </w:num>
  <w:num w:numId="15">
    <w:abstractNumId w:val="28"/>
  </w:num>
  <w:num w:numId="16">
    <w:abstractNumId w:val="6"/>
  </w:num>
  <w:num w:numId="17">
    <w:abstractNumId w:val="39"/>
  </w:num>
  <w:num w:numId="18">
    <w:abstractNumId w:val="15"/>
  </w:num>
  <w:num w:numId="19">
    <w:abstractNumId w:val="14"/>
  </w:num>
  <w:num w:numId="20">
    <w:abstractNumId w:val="11"/>
  </w:num>
  <w:num w:numId="21">
    <w:abstractNumId w:val="20"/>
  </w:num>
  <w:num w:numId="22">
    <w:abstractNumId w:val="31"/>
  </w:num>
  <w:num w:numId="23">
    <w:abstractNumId w:val="13"/>
  </w:num>
  <w:num w:numId="24">
    <w:abstractNumId w:val="17"/>
  </w:num>
  <w:num w:numId="25">
    <w:abstractNumId w:val="34"/>
  </w:num>
  <w:num w:numId="26">
    <w:abstractNumId w:val="10"/>
  </w:num>
  <w:num w:numId="27">
    <w:abstractNumId w:val="26"/>
  </w:num>
  <w:num w:numId="28">
    <w:abstractNumId w:val="3"/>
  </w:num>
  <w:num w:numId="29">
    <w:abstractNumId w:val="21"/>
  </w:num>
  <w:num w:numId="30">
    <w:abstractNumId w:val="9"/>
  </w:num>
  <w:num w:numId="31">
    <w:abstractNumId w:val="18"/>
  </w:num>
  <w:num w:numId="32">
    <w:abstractNumId w:val="24"/>
  </w:num>
  <w:num w:numId="33">
    <w:abstractNumId w:val="7"/>
  </w:num>
  <w:num w:numId="34">
    <w:abstractNumId w:val="22"/>
  </w:num>
  <w:num w:numId="35">
    <w:abstractNumId w:val="27"/>
  </w:num>
  <w:num w:numId="3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num>
  <w:num w:numId="39">
    <w:abstractNumId w:val="38"/>
    <w:lvlOverride w:ilvl="0">
      <w:startOverride w:val="1"/>
    </w:lvlOverride>
    <w:lvlOverride w:ilvl="1"/>
    <w:lvlOverride w:ilvl="2"/>
    <w:lvlOverride w:ilvl="3"/>
    <w:lvlOverride w:ilvl="4"/>
    <w:lvlOverride w:ilvl="5"/>
    <w:lvlOverride w:ilvl="6"/>
    <w:lvlOverride w:ilvl="7"/>
    <w:lvlOverride w:ilvl="8"/>
  </w:num>
  <w:num w:numId="40">
    <w:abstractNumId w:val="42"/>
  </w:num>
  <w:num w:numId="41">
    <w:abstractNumId w:val="0"/>
  </w:num>
  <w:num w:numId="42">
    <w:abstractNumId w:val="25"/>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hyphenationZone w:val="425"/>
  <w:characterSpacingControl w:val="doNotCompress"/>
  <w:hdrShapeDefaults>
    <o:shapedefaults v:ext="edit" spidmax="5122"/>
  </w:hdrShapeDefaults>
  <w:footnotePr>
    <w:footnote w:id="-1"/>
    <w:footnote w:id="0"/>
  </w:footnotePr>
  <w:endnotePr>
    <w:endnote w:id="-1"/>
    <w:endnote w:id="0"/>
  </w:endnotePr>
  <w:compat>
    <w:useFELayout/>
  </w:compat>
  <w:rsids>
    <w:rsidRoot w:val="009E7CE6"/>
    <w:rsid w:val="00033107"/>
    <w:rsid w:val="000365E4"/>
    <w:rsid w:val="00065D12"/>
    <w:rsid w:val="000B2611"/>
    <w:rsid w:val="000C3BC0"/>
    <w:rsid w:val="000C44BA"/>
    <w:rsid w:val="000E6D43"/>
    <w:rsid w:val="00120FC9"/>
    <w:rsid w:val="00132920"/>
    <w:rsid w:val="001700E7"/>
    <w:rsid w:val="001A0497"/>
    <w:rsid w:val="001A4B91"/>
    <w:rsid w:val="00231810"/>
    <w:rsid w:val="00245784"/>
    <w:rsid w:val="002546C4"/>
    <w:rsid w:val="002709D7"/>
    <w:rsid w:val="002755FA"/>
    <w:rsid w:val="00277557"/>
    <w:rsid w:val="002C24F7"/>
    <w:rsid w:val="002F4374"/>
    <w:rsid w:val="00313556"/>
    <w:rsid w:val="00341D18"/>
    <w:rsid w:val="003421D6"/>
    <w:rsid w:val="003C3222"/>
    <w:rsid w:val="003D127B"/>
    <w:rsid w:val="004352CA"/>
    <w:rsid w:val="00484F7F"/>
    <w:rsid w:val="004850C2"/>
    <w:rsid w:val="004F4BB7"/>
    <w:rsid w:val="00512C82"/>
    <w:rsid w:val="0052441C"/>
    <w:rsid w:val="00544789"/>
    <w:rsid w:val="00595013"/>
    <w:rsid w:val="005A0F65"/>
    <w:rsid w:val="005B0856"/>
    <w:rsid w:val="005E5FC5"/>
    <w:rsid w:val="00602568"/>
    <w:rsid w:val="00613FAD"/>
    <w:rsid w:val="00621058"/>
    <w:rsid w:val="0062342A"/>
    <w:rsid w:val="00632D05"/>
    <w:rsid w:val="00637286"/>
    <w:rsid w:val="0064715E"/>
    <w:rsid w:val="0065092F"/>
    <w:rsid w:val="0069444F"/>
    <w:rsid w:val="006A1328"/>
    <w:rsid w:val="006B795C"/>
    <w:rsid w:val="006C496A"/>
    <w:rsid w:val="006C72C5"/>
    <w:rsid w:val="006D1F57"/>
    <w:rsid w:val="006E1868"/>
    <w:rsid w:val="007275A4"/>
    <w:rsid w:val="00731DB6"/>
    <w:rsid w:val="007570D6"/>
    <w:rsid w:val="00763295"/>
    <w:rsid w:val="0076690D"/>
    <w:rsid w:val="007D2758"/>
    <w:rsid w:val="007E0A32"/>
    <w:rsid w:val="007F70FB"/>
    <w:rsid w:val="00802208"/>
    <w:rsid w:val="008047A3"/>
    <w:rsid w:val="008427F0"/>
    <w:rsid w:val="008603D1"/>
    <w:rsid w:val="0086644F"/>
    <w:rsid w:val="0087709F"/>
    <w:rsid w:val="008978BA"/>
    <w:rsid w:val="008D722A"/>
    <w:rsid w:val="008E37F7"/>
    <w:rsid w:val="009021CA"/>
    <w:rsid w:val="00906342"/>
    <w:rsid w:val="00926ACF"/>
    <w:rsid w:val="00947023"/>
    <w:rsid w:val="009623A3"/>
    <w:rsid w:val="009663C6"/>
    <w:rsid w:val="009907E1"/>
    <w:rsid w:val="009B0601"/>
    <w:rsid w:val="009C6FE3"/>
    <w:rsid w:val="009E7CE6"/>
    <w:rsid w:val="00A20E6C"/>
    <w:rsid w:val="00A42EAF"/>
    <w:rsid w:val="00A459FE"/>
    <w:rsid w:val="00A61C22"/>
    <w:rsid w:val="00A92EF6"/>
    <w:rsid w:val="00B043A2"/>
    <w:rsid w:val="00B100BC"/>
    <w:rsid w:val="00B14FC0"/>
    <w:rsid w:val="00B24094"/>
    <w:rsid w:val="00B31044"/>
    <w:rsid w:val="00B511A3"/>
    <w:rsid w:val="00B56987"/>
    <w:rsid w:val="00B9484D"/>
    <w:rsid w:val="00BD51D1"/>
    <w:rsid w:val="00BE27F5"/>
    <w:rsid w:val="00C22427"/>
    <w:rsid w:val="00C23E83"/>
    <w:rsid w:val="00C26988"/>
    <w:rsid w:val="00C45963"/>
    <w:rsid w:val="00C851F9"/>
    <w:rsid w:val="00C966E4"/>
    <w:rsid w:val="00CF171B"/>
    <w:rsid w:val="00D1619E"/>
    <w:rsid w:val="00D3402C"/>
    <w:rsid w:val="00D54D8A"/>
    <w:rsid w:val="00D55974"/>
    <w:rsid w:val="00D60A9F"/>
    <w:rsid w:val="00D630C6"/>
    <w:rsid w:val="00D75D70"/>
    <w:rsid w:val="00D87621"/>
    <w:rsid w:val="00DA13A2"/>
    <w:rsid w:val="00DB0335"/>
    <w:rsid w:val="00E14EF3"/>
    <w:rsid w:val="00E22205"/>
    <w:rsid w:val="00E85B3F"/>
    <w:rsid w:val="00EB1120"/>
    <w:rsid w:val="00EC57A7"/>
    <w:rsid w:val="00ED3E20"/>
    <w:rsid w:val="00EF4B22"/>
    <w:rsid w:val="00F04BA4"/>
    <w:rsid w:val="00F47165"/>
    <w:rsid w:val="00F55184"/>
    <w:rsid w:val="00F947DD"/>
    <w:rsid w:val="00FA72DC"/>
    <w:rsid w:val="00FD1EA3"/>
    <w:rsid w:val="00FE30BC"/>
    <w:rsid w:val="00FF30C2"/>
    <w:rsid w:val="00FF32BA"/>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A32"/>
    <w:rPr>
      <w:lang w:val="es-ES_tradnl"/>
    </w:rPr>
  </w:style>
  <w:style w:type="paragraph" w:styleId="Ttulo1">
    <w:name w:val="heading 1"/>
    <w:basedOn w:val="Normal"/>
    <w:next w:val="Normal"/>
    <w:link w:val="Ttulo1Car"/>
    <w:qFormat/>
    <w:rsid w:val="004850C2"/>
    <w:pPr>
      <w:keepNext/>
      <w:keepLines/>
      <w:spacing w:before="480" w:line="276" w:lineRule="auto"/>
      <w:outlineLvl w:val="0"/>
    </w:pPr>
    <w:rPr>
      <w:rFonts w:asciiTheme="majorHAnsi" w:eastAsiaTheme="majorEastAsia" w:hAnsiTheme="majorHAnsi" w:cstheme="majorBidi"/>
      <w:b/>
      <w:bCs/>
      <w:color w:val="374C80" w:themeColor="accent1" w:themeShade="BF"/>
      <w:sz w:val="28"/>
      <w:szCs w:val="28"/>
      <w:lang w:val="es-MX" w:eastAsia="es-MX"/>
    </w:rPr>
  </w:style>
  <w:style w:type="paragraph" w:styleId="Ttulo2">
    <w:name w:val="heading 2"/>
    <w:basedOn w:val="Normal"/>
    <w:next w:val="Normal"/>
    <w:link w:val="Ttulo2Car"/>
    <w:unhideWhenUsed/>
    <w:qFormat/>
    <w:rsid w:val="004850C2"/>
    <w:pPr>
      <w:keepNext/>
      <w:keepLines/>
      <w:spacing w:before="200" w:line="256" w:lineRule="auto"/>
      <w:outlineLvl w:val="1"/>
    </w:pPr>
    <w:rPr>
      <w:rFonts w:asciiTheme="majorHAnsi" w:eastAsiaTheme="majorEastAsia" w:hAnsiTheme="majorHAnsi" w:cstheme="majorBidi"/>
      <w:b/>
      <w:bCs/>
      <w:color w:val="4A66AC" w:themeColor="accent1"/>
      <w:sz w:val="26"/>
      <w:szCs w:val="26"/>
      <w:lang w:val="es-MX" w:eastAsia="en-US"/>
    </w:rPr>
  </w:style>
  <w:style w:type="paragraph" w:styleId="Ttulo3">
    <w:name w:val="heading 3"/>
    <w:basedOn w:val="Normal"/>
    <w:next w:val="Normal"/>
    <w:link w:val="Ttulo3Car"/>
    <w:rsid w:val="0064715E"/>
    <w:pPr>
      <w:keepNext/>
      <w:keepLines/>
      <w:spacing w:before="320" w:after="80" w:line="276" w:lineRule="auto"/>
      <w:outlineLvl w:val="2"/>
    </w:pPr>
    <w:rPr>
      <w:rFonts w:ascii="Arial" w:eastAsia="Arial" w:hAnsi="Arial" w:cs="Arial"/>
      <w:color w:val="434343"/>
      <w:sz w:val="28"/>
      <w:szCs w:val="28"/>
      <w:lang w:val="es-MX" w:eastAsia="es-MX"/>
    </w:rPr>
  </w:style>
  <w:style w:type="paragraph" w:styleId="Ttulo4">
    <w:name w:val="heading 4"/>
    <w:basedOn w:val="Normal"/>
    <w:next w:val="Normal"/>
    <w:link w:val="Ttulo4Car"/>
    <w:rsid w:val="0064715E"/>
    <w:pPr>
      <w:keepNext/>
      <w:keepLines/>
      <w:spacing w:before="280" w:after="80" w:line="276" w:lineRule="auto"/>
      <w:outlineLvl w:val="3"/>
    </w:pPr>
    <w:rPr>
      <w:rFonts w:ascii="Arial" w:eastAsia="Arial" w:hAnsi="Arial" w:cs="Arial"/>
      <w:color w:val="666666"/>
      <w:lang w:val="es-MX" w:eastAsia="es-MX"/>
    </w:rPr>
  </w:style>
  <w:style w:type="paragraph" w:styleId="Ttulo5">
    <w:name w:val="heading 5"/>
    <w:basedOn w:val="Normal"/>
    <w:next w:val="Normal"/>
    <w:link w:val="Ttulo5Car"/>
    <w:rsid w:val="0064715E"/>
    <w:pPr>
      <w:keepNext/>
      <w:keepLines/>
      <w:spacing w:before="240" w:after="80" w:line="276" w:lineRule="auto"/>
      <w:outlineLvl w:val="4"/>
    </w:pPr>
    <w:rPr>
      <w:rFonts w:ascii="Arial" w:eastAsia="Arial" w:hAnsi="Arial" w:cs="Arial"/>
      <w:color w:val="666666"/>
      <w:sz w:val="22"/>
      <w:szCs w:val="22"/>
      <w:lang w:val="es-MX" w:eastAsia="es-MX"/>
    </w:rPr>
  </w:style>
  <w:style w:type="paragraph" w:styleId="Ttulo6">
    <w:name w:val="heading 6"/>
    <w:basedOn w:val="Normal"/>
    <w:next w:val="Normal"/>
    <w:link w:val="Ttulo6Car"/>
    <w:rsid w:val="0064715E"/>
    <w:pPr>
      <w:keepNext/>
      <w:keepLines/>
      <w:spacing w:before="240" w:after="80" w:line="276" w:lineRule="auto"/>
      <w:outlineLvl w:val="5"/>
    </w:pPr>
    <w:rPr>
      <w:rFonts w:ascii="Arial" w:eastAsia="Arial" w:hAnsi="Arial" w:cs="Arial"/>
      <w:i/>
      <w:color w:val="666666"/>
      <w:sz w:val="22"/>
      <w:szCs w:val="22"/>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50C2"/>
    <w:rPr>
      <w:rFonts w:asciiTheme="majorHAnsi" w:eastAsiaTheme="majorEastAsia" w:hAnsiTheme="majorHAnsi" w:cstheme="majorBidi"/>
      <w:b/>
      <w:bCs/>
      <w:color w:val="374C80" w:themeColor="accent1" w:themeShade="BF"/>
      <w:sz w:val="28"/>
      <w:szCs w:val="28"/>
      <w:lang w:val="es-MX" w:eastAsia="es-MX"/>
    </w:rPr>
  </w:style>
  <w:style w:type="character" w:customStyle="1" w:styleId="Ttulo2Car">
    <w:name w:val="Título 2 Car"/>
    <w:basedOn w:val="Fuentedeprrafopredeter"/>
    <w:link w:val="Ttulo2"/>
    <w:uiPriority w:val="9"/>
    <w:semiHidden/>
    <w:rsid w:val="004850C2"/>
    <w:rPr>
      <w:rFonts w:asciiTheme="majorHAnsi" w:eastAsiaTheme="majorEastAsia" w:hAnsiTheme="majorHAnsi" w:cstheme="majorBidi"/>
      <w:b/>
      <w:bCs/>
      <w:color w:val="4A66AC" w:themeColor="accent1"/>
      <w:sz w:val="26"/>
      <w:szCs w:val="26"/>
      <w:lang w:val="es-MX" w:eastAsia="en-US"/>
    </w:rPr>
  </w:style>
  <w:style w:type="character" w:customStyle="1" w:styleId="Ttulo3Car">
    <w:name w:val="Título 3 Car"/>
    <w:basedOn w:val="Fuentedeprrafopredeter"/>
    <w:link w:val="Ttulo3"/>
    <w:rsid w:val="0064715E"/>
    <w:rPr>
      <w:rFonts w:ascii="Arial" w:eastAsia="Arial" w:hAnsi="Arial" w:cs="Arial"/>
      <w:color w:val="434343"/>
      <w:sz w:val="28"/>
      <w:szCs w:val="28"/>
      <w:lang w:val="es-MX" w:eastAsia="es-MX"/>
    </w:rPr>
  </w:style>
  <w:style w:type="character" w:customStyle="1" w:styleId="Ttulo4Car">
    <w:name w:val="Título 4 Car"/>
    <w:basedOn w:val="Fuentedeprrafopredeter"/>
    <w:link w:val="Ttulo4"/>
    <w:rsid w:val="0064715E"/>
    <w:rPr>
      <w:rFonts w:ascii="Arial" w:eastAsia="Arial" w:hAnsi="Arial" w:cs="Arial"/>
      <w:color w:val="666666"/>
      <w:lang w:val="es-MX" w:eastAsia="es-MX"/>
    </w:rPr>
  </w:style>
  <w:style w:type="character" w:customStyle="1" w:styleId="Ttulo5Car">
    <w:name w:val="Título 5 Car"/>
    <w:basedOn w:val="Fuentedeprrafopredeter"/>
    <w:link w:val="Ttulo5"/>
    <w:rsid w:val="0064715E"/>
    <w:rPr>
      <w:rFonts w:ascii="Arial" w:eastAsia="Arial" w:hAnsi="Arial" w:cs="Arial"/>
      <w:color w:val="666666"/>
      <w:sz w:val="22"/>
      <w:szCs w:val="22"/>
      <w:lang w:val="es-MX" w:eastAsia="es-MX"/>
    </w:rPr>
  </w:style>
  <w:style w:type="character" w:customStyle="1" w:styleId="Ttulo6Car">
    <w:name w:val="Título 6 Car"/>
    <w:basedOn w:val="Fuentedeprrafopredeter"/>
    <w:link w:val="Ttulo6"/>
    <w:rsid w:val="0064715E"/>
    <w:rPr>
      <w:rFonts w:ascii="Arial" w:eastAsia="Arial" w:hAnsi="Arial" w:cs="Arial"/>
      <w:i/>
      <w:color w:val="666666"/>
      <w:sz w:val="22"/>
      <w:szCs w:val="22"/>
      <w:lang w:val="es-MX" w:eastAsia="es-MX"/>
    </w:rPr>
  </w:style>
  <w:style w:type="paragraph" w:styleId="Encabezado">
    <w:name w:val="header"/>
    <w:basedOn w:val="Normal"/>
    <w:link w:val="EncabezadoCar"/>
    <w:uiPriority w:val="99"/>
    <w:unhideWhenUsed/>
    <w:rsid w:val="009E7CE6"/>
    <w:pPr>
      <w:tabs>
        <w:tab w:val="center" w:pos="4419"/>
        <w:tab w:val="right" w:pos="8838"/>
      </w:tabs>
    </w:pPr>
  </w:style>
  <w:style w:type="character" w:customStyle="1" w:styleId="EncabezadoCar">
    <w:name w:val="Encabezado Car"/>
    <w:basedOn w:val="Fuentedeprrafopredeter"/>
    <w:link w:val="Encabezado"/>
    <w:uiPriority w:val="99"/>
    <w:rsid w:val="009E7CE6"/>
    <w:rPr>
      <w:lang w:val="es-ES_tradnl"/>
    </w:rPr>
  </w:style>
  <w:style w:type="paragraph" w:styleId="Piedepgina">
    <w:name w:val="footer"/>
    <w:basedOn w:val="Normal"/>
    <w:link w:val="PiedepginaCar"/>
    <w:uiPriority w:val="99"/>
    <w:unhideWhenUsed/>
    <w:rsid w:val="009E7CE6"/>
    <w:pPr>
      <w:tabs>
        <w:tab w:val="center" w:pos="4419"/>
        <w:tab w:val="right" w:pos="8838"/>
      </w:tabs>
    </w:pPr>
  </w:style>
  <w:style w:type="character" w:customStyle="1" w:styleId="PiedepginaCar">
    <w:name w:val="Pie de página Car"/>
    <w:basedOn w:val="Fuentedeprrafopredeter"/>
    <w:link w:val="Piedepgina"/>
    <w:uiPriority w:val="99"/>
    <w:rsid w:val="009E7CE6"/>
    <w:rPr>
      <w:lang w:val="es-ES_tradnl"/>
    </w:rPr>
  </w:style>
  <w:style w:type="paragraph" w:styleId="Textodeglobo">
    <w:name w:val="Balloon Text"/>
    <w:basedOn w:val="Normal"/>
    <w:link w:val="TextodegloboCar"/>
    <w:uiPriority w:val="99"/>
    <w:semiHidden/>
    <w:unhideWhenUsed/>
    <w:rsid w:val="009E7CE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9E7CE6"/>
    <w:rPr>
      <w:rFonts w:ascii="Lucida Grande" w:hAnsi="Lucida Grande" w:cs="Lucida Grande"/>
      <w:sz w:val="18"/>
      <w:szCs w:val="18"/>
      <w:lang w:val="es-ES_tradnl"/>
    </w:rPr>
  </w:style>
  <w:style w:type="table" w:customStyle="1" w:styleId="Tablaconcuadrcula4-nfasis61">
    <w:name w:val="Tabla con cuadrícula 4 - Énfasis 61"/>
    <w:basedOn w:val="Tablanormal"/>
    <w:uiPriority w:val="49"/>
    <w:rsid w:val="005E5FC5"/>
    <w:tblPr>
      <w:tblStyleRowBandSize w:val="1"/>
      <w:tblStyleColBandSize w:val="1"/>
      <w:tblInd w:w="0" w:type="dxa"/>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insideV w:val="single" w:sz="4" w:space="0" w:color="C4BCC6"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insideV w:val="nil"/>
        </w:tcBorders>
        <w:shd w:val="clear" w:color="auto" w:fill="9D90A0" w:themeFill="accent6"/>
      </w:tcPr>
    </w:tblStylePr>
    <w:tblStylePr w:type="lastRow">
      <w:rPr>
        <w:b/>
        <w:bCs/>
      </w:rPr>
      <w:tblPr/>
      <w:tcPr>
        <w:tcBorders>
          <w:top w:val="double" w:sz="4" w:space="0" w:color="9D90A0" w:themeColor="accent6"/>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styleId="Prrafodelista">
    <w:name w:val="List Paragraph"/>
    <w:basedOn w:val="Normal"/>
    <w:uiPriority w:val="34"/>
    <w:qFormat/>
    <w:rsid w:val="00EF4B22"/>
    <w:pPr>
      <w:spacing w:after="160" w:line="259" w:lineRule="auto"/>
      <w:ind w:left="720"/>
      <w:contextualSpacing/>
    </w:pPr>
    <w:rPr>
      <w:rFonts w:eastAsiaTheme="minorHAnsi"/>
      <w:sz w:val="22"/>
      <w:szCs w:val="22"/>
      <w:lang w:val="en-US" w:eastAsia="en-US"/>
    </w:rPr>
  </w:style>
  <w:style w:type="paragraph" w:styleId="Textonotapie">
    <w:name w:val="footnote text"/>
    <w:basedOn w:val="Normal"/>
    <w:link w:val="TextonotapieCar"/>
    <w:uiPriority w:val="99"/>
    <w:semiHidden/>
    <w:unhideWhenUsed/>
    <w:rsid w:val="00EF4B22"/>
    <w:rPr>
      <w:rFonts w:eastAsiaTheme="minorHAnsi"/>
      <w:sz w:val="20"/>
      <w:szCs w:val="20"/>
      <w:lang w:val="en-US" w:eastAsia="en-US"/>
    </w:rPr>
  </w:style>
  <w:style w:type="character" w:customStyle="1" w:styleId="TextonotapieCar">
    <w:name w:val="Texto nota pie Car"/>
    <w:basedOn w:val="Fuentedeprrafopredeter"/>
    <w:link w:val="Textonotapie"/>
    <w:uiPriority w:val="99"/>
    <w:semiHidden/>
    <w:rsid w:val="00EF4B22"/>
    <w:rPr>
      <w:rFonts w:eastAsiaTheme="minorHAnsi"/>
      <w:sz w:val="20"/>
      <w:szCs w:val="20"/>
      <w:lang w:eastAsia="en-US"/>
    </w:rPr>
  </w:style>
  <w:style w:type="character" w:styleId="Refdenotaalpie">
    <w:name w:val="footnote reference"/>
    <w:aliases w:val="ftref,脚注引用,16 Point,Superscript 6 Point,Fußnotenzeichen DISS,fr,Superscript 6 Point + 11 pt,BVI fnr,BVI fnr Car Car,BVI fnr Car,BVI fnr Car Car Car Car,Footnote text"/>
    <w:basedOn w:val="Fuentedeprrafopredeter"/>
    <w:uiPriority w:val="99"/>
    <w:semiHidden/>
    <w:unhideWhenUsed/>
    <w:rsid w:val="00EF4B22"/>
    <w:rPr>
      <w:vertAlign w:val="superscript"/>
    </w:rPr>
  </w:style>
  <w:style w:type="character" w:styleId="Hipervnculo">
    <w:name w:val="Hyperlink"/>
    <w:basedOn w:val="Fuentedeprrafopredeter"/>
    <w:uiPriority w:val="99"/>
    <w:unhideWhenUsed/>
    <w:rsid w:val="00EF4B22"/>
    <w:rPr>
      <w:color w:val="9454C3" w:themeColor="hyperlink"/>
      <w:u w:val="single"/>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0C44BA"/>
    <w:pPr>
      <w:spacing w:before="100" w:beforeAutospacing="1" w:after="100" w:afterAutospacing="1"/>
    </w:pPr>
    <w:rPr>
      <w:rFonts w:ascii="Times New Roman" w:eastAsia="Times New Roman" w:hAnsi="Times New Roman" w:cs="Times New Roman"/>
      <w:lang w:val="es-MX" w:eastAsia="es-MX"/>
    </w:r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basedOn w:val="Fuentedeprrafopredeter"/>
    <w:link w:val="NormalWeb"/>
    <w:uiPriority w:val="99"/>
    <w:rsid w:val="00A61C22"/>
    <w:rPr>
      <w:rFonts w:ascii="Times New Roman" w:eastAsia="Times New Roman" w:hAnsi="Times New Roman" w:cs="Times New Roman"/>
      <w:lang w:val="es-MX" w:eastAsia="es-MX"/>
    </w:rPr>
  </w:style>
  <w:style w:type="character" w:styleId="Refdecomentario">
    <w:name w:val="annotation reference"/>
    <w:basedOn w:val="Fuentedeprrafopredeter"/>
    <w:uiPriority w:val="99"/>
    <w:semiHidden/>
    <w:unhideWhenUsed/>
    <w:rsid w:val="000C44BA"/>
    <w:rPr>
      <w:sz w:val="16"/>
      <w:szCs w:val="16"/>
    </w:rPr>
  </w:style>
  <w:style w:type="paragraph" w:styleId="Textocomentario">
    <w:name w:val="annotation text"/>
    <w:basedOn w:val="Normal"/>
    <w:link w:val="TextocomentarioCar"/>
    <w:uiPriority w:val="99"/>
    <w:unhideWhenUsed/>
    <w:rsid w:val="000C44BA"/>
    <w:pPr>
      <w:spacing w:after="160"/>
    </w:pPr>
    <w:rPr>
      <w:rFonts w:eastAsiaTheme="minorHAnsi"/>
      <w:sz w:val="20"/>
      <w:szCs w:val="20"/>
      <w:lang w:val="en-US" w:eastAsia="en-US"/>
    </w:rPr>
  </w:style>
  <w:style w:type="character" w:customStyle="1" w:styleId="TextocomentarioCar">
    <w:name w:val="Texto comentario Car"/>
    <w:basedOn w:val="Fuentedeprrafopredeter"/>
    <w:link w:val="Textocomentario"/>
    <w:uiPriority w:val="99"/>
    <w:rsid w:val="000C44BA"/>
    <w:rPr>
      <w:rFonts w:eastAsiaTheme="minorHAnsi"/>
      <w:sz w:val="20"/>
      <w:szCs w:val="20"/>
      <w:lang w:eastAsia="en-US"/>
    </w:rPr>
  </w:style>
  <w:style w:type="paragraph" w:customStyle="1" w:styleId="CM162">
    <w:name w:val="CM162"/>
    <w:basedOn w:val="Normal"/>
    <w:next w:val="Normal"/>
    <w:uiPriority w:val="99"/>
    <w:rsid w:val="00B24094"/>
    <w:pPr>
      <w:widowControl w:val="0"/>
      <w:autoSpaceDE w:val="0"/>
      <w:autoSpaceDN w:val="0"/>
      <w:adjustRightInd w:val="0"/>
    </w:pPr>
    <w:rPr>
      <w:rFonts w:ascii="Soberana Titular" w:eastAsia="Times New Roman" w:hAnsi="Soberana Titular" w:cs="Times New Roman"/>
      <w:lang w:val="es-ES"/>
    </w:rPr>
  </w:style>
  <w:style w:type="paragraph" w:customStyle="1" w:styleId="CM166">
    <w:name w:val="CM166"/>
    <w:basedOn w:val="Normal"/>
    <w:next w:val="Normal"/>
    <w:uiPriority w:val="99"/>
    <w:rsid w:val="00B24094"/>
    <w:pPr>
      <w:widowControl w:val="0"/>
      <w:autoSpaceDE w:val="0"/>
      <w:autoSpaceDN w:val="0"/>
      <w:adjustRightInd w:val="0"/>
    </w:pPr>
    <w:rPr>
      <w:rFonts w:ascii="Soberana Titular" w:eastAsia="Times New Roman" w:hAnsi="Soberana Titular" w:cs="Times New Roman"/>
      <w:lang w:val="es-ES"/>
    </w:rPr>
  </w:style>
  <w:style w:type="paragraph" w:customStyle="1" w:styleId="msonormal0">
    <w:name w:val="msonormal"/>
    <w:basedOn w:val="Normal"/>
    <w:rsid w:val="004850C2"/>
    <w:pPr>
      <w:spacing w:before="100" w:beforeAutospacing="1" w:after="100" w:afterAutospacing="1"/>
    </w:pPr>
    <w:rPr>
      <w:rFonts w:ascii="Times New Roman" w:eastAsia="Times New Roman" w:hAnsi="Times New Roman" w:cs="Times New Roman"/>
      <w:lang w:val="es-MX" w:eastAsia="es-MX"/>
    </w:rPr>
  </w:style>
  <w:style w:type="paragraph" w:styleId="Epgrafe">
    <w:name w:val="caption"/>
    <w:basedOn w:val="Normal"/>
    <w:next w:val="Normal"/>
    <w:uiPriority w:val="35"/>
    <w:semiHidden/>
    <w:unhideWhenUsed/>
    <w:qFormat/>
    <w:rsid w:val="004850C2"/>
    <w:pPr>
      <w:widowControl w:val="0"/>
      <w:spacing w:after="200"/>
    </w:pPr>
    <w:rPr>
      <w:rFonts w:eastAsiaTheme="minorHAnsi"/>
      <w:b/>
      <w:bCs/>
      <w:color w:val="4A66AC" w:themeColor="accent1"/>
      <w:sz w:val="18"/>
      <w:szCs w:val="18"/>
      <w:lang w:val="es-MX" w:eastAsia="en-US"/>
    </w:rPr>
  </w:style>
  <w:style w:type="character" w:customStyle="1" w:styleId="TextonotaalfinalCar">
    <w:name w:val="Texto nota al final Car"/>
    <w:basedOn w:val="Fuentedeprrafopredeter"/>
    <w:link w:val="Textonotaalfinal"/>
    <w:uiPriority w:val="99"/>
    <w:semiHidden/>
    <w:rsid w:val="004850C2"/>
    <w:rPr>
      <w:rFonts w:eastAsiaTheme="minorHAnsi"/>
      <w:sz w:val="20"/>
      <w:szCs w:val="20"/>
      <w:lang w:val="es-MX" w:eastAsia="en-US"/>
    </w:rPr>
  </w:style>
  <w:style w:type="paragraph" w:styleId="Textonotaalfinal">
    <w:name w:val="endnote text"/>
    <w:basedOn w:val="Normal"/>
    <w:link w:val="TextonotaalfinalCar"/>
    <w:uiPriority w:val="99"/>
    <w:semiHidden/>
    <w:unhideWhenUsed/>
    <w:rsid w:val="004850C2"/>
    <w:pPr>
      <w:widowControl w:val="0"/>
    </w:pPr>
    <w:rPr>
      <w:rFonts w:eastAsiaTheme="minorHAnsi"/>
      <w:sz w:val="20"/>
      <w:szCs w:val="20"/>
      <w:lang w:val="es-MX" w:eastAsia="en-US"/>
    </w:rPr>
  </w:style>
  <w:style w:type="character" w:customStyle="1" w:styleId="AsuntodelcomentarioCar">
    <w:name w:val="Asunto del comentario Car"/>
    <w:basedOn w:val="TextocomentarioCar"/>
    <w:link w:val="Asuntodelcomentario"/>
    <w:uiPriority w:val="99"/>
    <w:semiHidden/>
    <w:rsid w:val="004850C2"/>
    <w:rPr>
      <w:rFonts w:eastAsiaTheme="minorHAnsi"/>
      <w:b/>
      <w:bCs/>
      <w:sz w:val="20"/>
      <w:szCs w:val="20"/>
      <w:lang w:val="es-MX" w:eastAsia="en-US"/>
    </w:rPr>
  </w:style>
  <w:style w:type="paragraph" w:styleId="Asuntodelcomentario">
    <w:name w:val="annotation subject"/>
    <w:basedOn w:val="Textocomentario"/>
    <w:next w:val="Textocomentario"/>
    <w:link w:val="AsuntodelcomentarioCar"/>
    <w:uiPriority w:val="99"/>
    <w:semiHidden/>
    <w:unhideWhenUsed/>
    <w:rsid w:val="004850C2"/>
    <w:pPr>
      <w:widowControl w:val="0"/>
      <w:spacing w:after="200"/>
    </w:pPr>
    <w:rPr>
      <w:b/>
      <w:bCs/>
      <w:lang w:val="es-MX"/>
    </w:rPr>
  </w:style>
  <w:style w:type="paragraph" w:styleId="Revisin">
    <w:name w:val="Revision"/>
    <w:uiPriority w:val="99"/>
    <w:semiHidden/>
    <w:rsid w:val="004850C2"/>
    <w:rPr>
      <w:rFonts w:eastAsiaTheme="minorHAnsi"/>
      <w:sz w:val="22"/>
      <w:szCs w:val="22"/>
      <w:lang w:val="es-MX" w:eastAsia="en-US"/>
    </w:rPr>
  </w:style>
  <w:style w:type="character" w:styleId="Refdenotaalfinal">
    <w:name w:val="endnote reference"/>
    <w:basedOn w:val="Fuentedeprrafopredeter"/>
    <w:uiPriority w:val="99"/>
    <w:semiHidden/>
    <w:unhideWhenUsed/>
    <w:rsid w:val="004850C2"/>
    <w:rPr>
      <w:vertAlign w:val="superscript"/>
    </w:rPr>
  </w:style>
  <w:style w:type="character" w:customStyle="1" w:styleId="apple-converted-space">
    <w:name w:val="apple-converted-space"/>
    <w:basedOn w:val="Fuentedeprrafopredeter"/>
    <w:rsid w:val="004850C2"/>
  </w:style>
  <w:style w:type="table" w:styleId="Listaclara">
    <w:name w:val="Light List"/>
    <w:basedOn w:val="Tablanormal"/>
    <w:uiPriority w:val="61"/>
    <w:semiHidden/>
    <w:unhideWhenUsed/>
    <w:rsid w:val="004850C2"/>
    <w:rPr>
      <w:sz w:val="22"/>
      <w:szCs w:val="22"/>
      <w:lang w:val="es-MX"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semiHidden/>
    <w:unhideWhenUsed/>
    <w:rsid w:val="004850C2"/>
    <w:rPr>
      <w:rFonts w:eastAsiaTheme="minorHAnsi"/>
      <w:sz w:val="22"/>
      <w:szCs w:val="22"/>
      <w:lang w:val="es-MX" w:eastAsia="en-US"/>
    </w:rPr>
    <w:tblPr>
      <w:tblStyleRowBandSize w:val="1"/>
      <w:tblStyleColBandSize w:val="1"/>
      <w:tblBorders>
        <w:top w:val="single" w:sz="8" w:space="0" w:color="4A66AC" w:themeColor="accent1"/>
        <w:left w:val="single" w:sz="8" w:space="0" w:color="4A66AC" w:themeColor="accent1"/>
        <w:bottom w:val="single" w:sz="8" w:space="0" w:color="4A66AC" w:themeColor="accent1"/>
        <w:right w:val="single" w:sz="8" w:space="0" w:color="4A66AC"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A66AC" w:themeFill="accent1"/>
      </w:tcPr>
    </w:tblStylePr>
    <w:tblStylePr w:type="lastRow">
      <w:pPr>
        <w:spacing w:beforeLines="0" w:beforeAutospacing="0" w:afterLines="0" w:afterAutospacing="0" w:line="240" w:lineRule="auto"/>
      </w:pPr>
      <w:rPr>
        <w:b/>
        <w:bCs/>
      </w:rPr>
      <w:tblPr/>
      <w:tcPr>
        <w:tcBorders>
          <w:top w:val="double" w:sz="6" w:space="0" w:color="4A66AC" w:themeColor="accent1"/>
          <w:left w:val="single" w:sz="8" w:space="0" w:color="4A66AC" w:themeColor="accent1"/>
          <w:bottom w:val="single" w:sz="8" w:space="0" w:color="4A66AC" w:themeColor="accent1"/>
          <w:right w:val="single" w:sz="8" w:space="0" w:color="4A66AC" w:themeColor="accent1"/>
        </w:tcBorders>
      </w:tcPr>
    </w:tblStylePr>
    <w:tblStylePr w:type="firstCol">
      <w:rPr>
        <w:b/>
        <w:bCs/>
      </w:rPr>
    </w:tblStylePr>
    <w:tblStylePr w:type="lastCol">
      <w:rPr>
        <w:b/>
        <w:bCs/>
      </w:rPr>
    </w:tblStylePr>
    <w:tblStylePr w:type="band1Vert">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tblStylePr w:type="band1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style>
  <w:style w:type="table" w:styleId="Sombreadomedio1-nfasis1">
    <w:name w:val="Medium Shading 1 Accent 1"/>
    <w:basedOn w:val="Tablanormal"/>
    <w:uiPriority w:val="63"/>
    <w:semiHidden/>
    <w:unhideWhenUsed/>
    <w:rsid w:val="004850C2"/>
    <w:rPr>
      <w:sz w:val="22"/>
      <w:szCs w:val="22"/>
      <w:lang w:val="es-MX" w:eastAsia="es-MX"/>
    </w:rPr>
    <w:tblPr>
      <w:tblStyleRowBandSize w:val="1"/>
      <w:tblStyleColBandSize w:val="1"/>
      <w:tbl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single" w:sz="8" w:space="0" w:color="748AC3" w:themeColor="accent1" w:themeTint="BF"/>
      </w:tblBorders>
      <w:tblCellMar>
        <w:top w:w="0" w:type="dxa"/>
        <w:left w:w="108" w:type="dxa"/>
        <w:bottom w:w="0" w:type="dxa"/>
        <w:right w:w="108" w:type="dxa"/>
      </w:tblCellMar>
    </w:tblPr>
    <w:tcPr>
      <w:shd w:val="clear" w:color="auto" w:fill="F2F2F2" w:themeFill="background1" w:themeFillShade="F2"/>
    </w:tcPr>
    <w:tblStylePr w:type="firstRow">
      <w:pPr>
        <w:spacing w:beforeLines="0" w:beforeAutospacing="0" w:afterLines="0" w:afterAutospacing="0" w:line="240" w:lineRule="auto"/>
      </w:pPr>
      <w:rPr>
        <w:b/>
        <w:bCs/>
        <w:color w:val="FFFFFF" w:themeColor="background1"/>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4850C2"/>
    <w:rPr>
      <w:rFonts w:eastAsiaTheme="minorHAnsi"/>
      <w:sz w:val="22"/>
      <w:szCs w:val="22"/>
      <w:lang w:val="es-MX" w:eastAsia="en-US"/>
    </w:rPr>
    <w:tblPr>
      <w:tblStyleRowBandSize w:val="1"/>
      <w:tblStyleColBandSize w:val="1"/>
      <w:tblBorders>
        <w:top w:val="single" w:sz="8" w:space="0" w:color="7F8FA9" w:themeColor="accent4"/>
        <w:left w:val="single" w:sz="8" w:space="0" w:color="7F8FA9" w:themeColor="accent4"/>
        <w:bottom w:val="single" w:sz="8" w:space="0" w:color="7F8FA9" w:themeColor="accent4"/>
        <w:right w:val="single" w:sz="8" w:space="0" w:color="7F8FA9" w:themeColor="accent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7F8FA9" w:themeFill="accent4"/>
      </w:tcPr>
    </w:tblStylePr>
    <w:tblStylePr w:type="lastRow">
      <w:pPr>
        <w:spacing w:beforeLines="0" w:beforeAutospacing="0" w:afterLines="0" w:afterAutospacing="0" w:line="240" w:lineRule="auto"/>
      </w:pPr>
      <w:rPr>
        <w:b/>
        <w:bCs/>
      </w:rPr>
      <w:tblPr/>
      <w:tcPr>
        <w:tcBorders>
          <w:top w:val="double" w:sz="6" w:space="0" w:color="7F8FA9" w:themeColor="accent4"/>
          <w:left w:val="single" w:sz="8" w:space="0" w:color="7F8FA9" w:themeColor="accent4"/>
          <w:bottom w:val="single" w:sz="8" w:space="0" w:color="7F8FA9" w:themeColor="accent4"/>
          <w:right w:val="single" w:sz="8" w:space="0" w:color="7F8FA9" w:themeColor="accent4"/>
        </w:tcBorders>
      </w:tcPr>
    </w:tblStylePr>
    <w:tblStylePr w:type="firstCol">
      <w:rPr>
        <w:b/>
        <w:bCs/>
      </w:rPr>
    </w:tblStylePr>
    <w:tblStylePr w:type="lastCol">
      <w:rPr>
        <w:b/>
        <w:bCs/>
      </w:rPr>
    </w:tblStylePr>
    <w:tblStylePr w:type="band1Vert">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tblStylePr w:type="band1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style>
  <w:style w:type="table" w:styleId="Cuadrculaclara-nfasis4">
    <w:name w:val="Light Grid Accent 4"/>
    <w:basedOn w:val="Tablanormal"/>
    <w:uiPriority w:val="62"/>
    <w:semiHidden/>
    <w:unhideWhenUsed/>
    <w:rsid w:val="004850C2"/>
    <w:rPr>
      <w:rFonts w:eastAsiaTheme="minorHAnsi"/>
      <w:sz w:val="22"/>
      <w:szCs w:val="22"/>
      <w:lang w:val="es-MX" w:eastAsia="en-US"/>
    </w:rPr>
    <w:tblPr>
      <w:tblStyleRowBandSize w:val="1"/>
      <w:tblStyleColBandSize w:val="1"/>
      <w:tblBorders>
        <w:top w:val="single" w:sz="8" w:space="0" w:color="7F8FA9" w:themeColor="accent4"/>
        <w:left w:val="single" w:sz="8" w:space="0" w:color="7F8FA9" w:themeColor="accent4"/>
        <w:bottom w:val="single" w:sz="8" w:space="0" w:color="7F8FA9" w:themeColor="accent4"/>
        <w:right w:val="single" w:sz="8" w:space="0" w:color="7F8FA9" w:themeColor="accent4"/>
        <w:insideH w:val="single" w:sz="8" w:space="0" w:color="7F8FA9" w:themeColor="accent4"/>
        <w:insideV w:val="single" w:sz="8" w:space="0" w:color="7F8FA9" w:themeColor="accent4"/>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7F8FA9" w:themeColor="accent4"/>
          <w:left w:val="single" w:sz="8" w:space="0" w:color="7F8FA9" w:themeColor="accent4"/>
          <w:bottom w:val="single" w:sz="18" w:space="0" w:color="7F8FA9" w:themeColor="accent4"/>
          <w:right w:val="single" w:sz="8" w:space="0" w:color="7F8FA9" w:themeColor="accent4"/>
          <w:insideH w:val="nil"/>
          <w:insideV w:val="single" w:sz="8" w:space="0" w:color="7F8FA9" w:themeColor="accent4"/>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7F8FA9" w:themeColor="accent4"/>
          <w:left w:val="single" w:sz="8" w:space="0" w:color="7F8FA9" w:themeColor="accent4"/>
          <w:bottom w:val="single" w:sz="8" w:space="0" w:color="7F8FA9" w:themeColor="accent4"/>
          <w:right w:val="single" w:sz="8" w:space="0" w:color="7F8FA9" w:themeColor="accent4"/>
          <w:insideH w:val="nil"/>
          <w:insideV w:val="single" w:sz="8" w:space="0" w:color="7F8FA9"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tblStylePr w:type="band1Vert">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shd w:val="clear" w:color="auto" w:fill="DFE3E9" w:themeFill="accent4" w:themeFillTint="3F"/>
      </w:tcPr>
    </w:tblStylePr>
    <w:tblStylePr w:type="band1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insideV w:val="single" w:sz="8" w:space="0" w:color="7F8FA9" w:themeColor="accent4"/>
        </w:tcBorders>
        <w:shd w:val="clear" w:color="auto" w:fill="DFE3E9" w:themeFill="accent4" w:themeFillTint="3F"/>
      </w:tcPr>
    </w:tblStylePr>
    <w:tblStylePr w:type="band2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insideV w:val="single" w:sz="8" w:space="0" w:color="7F8FA9" w:themeColor="accent4"/>
        </w:tcBorders>
      </w:tcPr>
    </w:tblStylePr>
  </w:style>
  <w:style w:type="table" w:styleId="Sombreadoclaro-nfasis5">
    <w:name w:val="Light Shading Accent 5"/>
    <w:basedOn w:val="Tablanormal"/>
    <w:uiPriority w:val="60"/>
    <w:semiHidden/>
    <w:unhideWhenUsed/>
    <w:rsid w:val="004850C2"/>
    <w:rPr>
      <w:rFonts w:eastAsiaTheme="minorHAnsi"/>
      <w:color w:val="417A84" w:themeColor="accent5" w:themeShade="BF"/>
      <w:sz w:val="22"/>
      <w:szCs w:val="22"/>
      <w:lang w:val="es-MX" w:eastAsia="en-US"/>
    </w:rPr>
    <w:tblPr>
      <w:tblStyleRowBandSize w:val="1"/>
      <w:tblStyleColBandSize w:val="1"/>
      <w:tblBorders>
        <w:top w:val="single" w:sz="8" w:space="0" w:color="5AA2AE" w:themeColor="accent5"/>
        <w:bottom w:val="single" w:sz="8" w:space="0" w:color="5AA2AE"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5AA2AE" w:themeColor="accent5"/>
          <w:left w:val="nil"/>
          <w:bottom w:val="single" w:sz="8" w:space="0" w:color="5AA2AE" w:themeColor="accent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AA2AE" w:themeColor="accent5"/>
          <w:left w:val="nil"/>
          <w:bottom w:val="single" w:sz="8" w:space="0" w:color="5AA2A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left w:val="nil"/>
          <w:right w:val="nil"/>
          <w:insideH w:val="nil"/>
          <w:insideV w:val="nil"/>
        </w:tcBorders>
        <w:shd w:val="clear" w:color="auto" w:fill="D6E7EB" w:themeFill="accent5" w:themeFillTint="3F"/>
      </w:tcPr>
    </w:tblStylePr>
  </w:style>
  <w:style w:type="table" w:styleId="Listaclara-nfasis5">
    <w:name w:val="Light List Accent 5"/>
    <w:basedOn w:val="Tablanormal"/>
    <w:uiPriority w:val="61"/>
    <w:semiHidden/>
    <w:unhideWhenUsed/>
    <w:rsid w:val="004850C2"/>
    <w:rPr>
      <w:rFonts w:eastAsiaTheme="minorHAnsi"/>
      <w:sz w:val="22"/>
      <w:szCs w:val="22"/>
      <w:lang w:val="es-MX" w:eastAsia="en-US"/>
    </w:rPr>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5AA2AE" w:themeFill="accent5"/>
      </w:tcPr>
    </w:tblStylePr>
    <w:tblStylePr w:type="lastRow">
      <w:pPr>
        <w:spacing w:beforeLines="0" w:beforeAutospacing="0" w:afterLines="0" w:afterAutospacing="0" w:line="240" w:lineRule="auto"/>
      </w:pPr>
      <w:rPr>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tcBorders>
      </w:tcPr>
    </w:tblStylePr>
    <w:tblStylePr w:type="firstCol">
      <w:rPr>
        <w:b/>
        <w:bCs/>
      </w:rPr>
    </w:tblStylePr>
    <w:tblStylePr w:type="lastCol">
      <w:rPr>
        <w:b/>
        <w:bCs/>
      </w:r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style>
  <w:style w:type="table" w:styleId="Cuadrculamedia1-nfasis5">
    <w:name w:val="Medium Grid 1 Accent 5"/>
    <w:basedOn w:val="Tablanormal"/>
    <w:uiPriority w:val="67"/>
    <w:semiHidden/>
    <w:unhideWhenUsed/>
    <w:rsid w:val="004850C2"/>
    <w:rPr>
      <w:rFonts w:eastAsiaTheme="minorHAnsi"/>
      <w:sz w:val="22"/>
      <w:szCs w:val="22"/>
      <w:lang w:val="es-MX" w:eastAsia="en-US"/>
    </w:rPr>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CellMar>
        <w:top w:w="0" w:type="dxa"/>
        <w:left w:w="108" w:type="dxa"/>
        <w:bottom w:w="0" w:type="dxa"/>
        <w:right w:w="108" w:type="dxa"/>
      </w:tblCellMar>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Sombreadomedio1-nfasis6">
    <w:name w:val="Medium Shading 1 Accent 6"/>
    <w:basedOn w:val="Tablanormal"/>
    <w:uiPriority w:val="63"/>
    <w:semiHidden/>
    <w:unhideWhenUsed/>
    <w:rsid w:val="004850C2"/>
    <w:rPr>
      <w:rFonts w:eastAsiaTheme="minorHAnsi"/>
      <w:sz w:val="22"/>
      <w:szCs w:val="22"/>
      <w:lang w:val="es-MX" w:eastAsia="en-US"/>
    </w:rPr>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shd w:val="clear" w:color="auto" w:fill="9D90A0" w:themeFill="accent6"/>
      </w:tcPr>
    </w:tblStylePr>
    <w:tblStylePr w:type="lastRow">
      <w:pPr>
        <w:spacing w:beforeLines="0" w:beforeAutospacing="0" w:afterLines="0" w:afterAutospacing="0" w:line="240" w:lineRule="auto"/>
      </w:pPr>
      <w:rPr>
        <w:b/>
        <w:bCs/>
      </w:rPr>
      <w:tblPr/>
      <w:tcPr>
        <w:tcBorders>
          <w:top w:val="double" w:sz="6"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3E7" w:themeFill="accent6" w:themeFillTint="3F"/>
      </w:tcPr>
    </w:tblStylePr>
    <w:tblStylePr w:type="band1Horz">
      <w:tblPr/>
      <w:tcPr>
        <w:tcBorders>
          <w:insideH w:val="nil"/>
          <w:insideV w:val="nil"/>
        </w:tcBorders>
        <w:shd w:val="clear" w:color="auto" w:fill="E6E3E7" w:themeFill="accent6"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4850C2"/>
    <w:rPr>
      <w:rFonts w:eastAsiaTheme="minorHAnsi"/>
      <w:sz w:val="22"/>
      <w:szCs w:val="22"/>
      <w:lang w:val="es-MX" w:eastAsia="en-US"/>
    </w:rPr>
    <w:tblPr>
      <w:tblStyleRowBandSize w:val="1"/>
      <w:tblStyleColBandSize w:val="1"/>
      <w:tbl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single" w:sz="8" w:space="0" w:color="748AC3" w:themeColor="accent1"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shd w:val="clear" w:color="auto" w:fill="4A66AC" w:themeFill="accent1"/>
      </w:tcPr>
    </w:tblStylePr>
    <w:tblStylePr w:type="lastRow">
      <w:pPr>
        <w:spacing w:beforeLines="0" w:beforeAutospacing="0" w:afterLines="0" w:afterAutospacing="0" w:line="240" w:lineRule="auto"/>
      </w:pPr>
      <w:rPr>
        <w:b/>
        <w:bCs/>
      </w:rPr>
      <w:tblPr/>
      <w:tcPr>
        <w:tcBorders>
          <w:top w:val="double" w:sz="6"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EB" w:themeFill="accent1" w:themeFillTint="3F"/>
      </w:tcPr>
    </w:tblStylePr>
    <w:tblStylePr w:type="band1Horz">
      <w:tblPr/>
      <w:tcPr>
        <w:shd w:val="clear" w:color="auto" w:fill="F2F2F2" w:themeFill="background1" w:themeFillShade="F2"/>
      </w:tcPr>
    </w:tblStylePr>
    <w:tblStylePr w:type="band2Horz">
      <w:tblPr/>
      <w:tcPr>
        <w:tcBorders>
          <w:insideH w:val="nil"/>
          <w:insideV w:val="nil"/>
        </w:tcBorders>
      </w:tcPr>
    </w:tblStylePr>
  </w:style>
  <w:style w:type="table" w:customStyle="1" w:styleId="Listaclara1">
    <w:name w:val="Lista clara1"/>
    <w:basedOn w:val="Tablanormal"/>
    <w:uiPriority w:val="61"/>
    <w:rsid w:val="004850C2"/>
    <w:rPr>
      <w:rFonts w:eastAsiaTheme="minorHAnsi"/>
      <w:sz w:val="22"/>
      <w:szCs w:val="22"/>
      <w:lang w:val="es-MX"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Normal">
    <w:name w:val="Table Normal"/>
    <w:rsid w:val="0064715E"/>
    <w:pPr>
      <w:spacing w:line="276" w:lineRule="auto"/>
    </w:pPr>
    <w:rPr>
      <w:rFonts w:ascii="Arial" w:eastAsia="Arial" w:hAnsi="Arial" w:cs="Arial"/>
      <w:sz w:val="22"/>
      <w:szCs w:val="22"/>
      <w:lang w:val="es-MX" w:eastAsia="es-MX"/>
    </w:rPr>
    <w:tblPr>
      <w:tblCellMar>
        <w:top w:w="0" w:type="dxa"/>
        <w:left w:w="0" w:type="dxa"/>
        <w:bottom w:w="0" w:type="dxa"/>
        <w:right w:w="0" w:type="dxa"/>
      </w:tblCellMar>
    </w:tblPr>
  </w:style>
  <w:style w:type="paragraph" w:styleId="Ttulo">
    <w:name w:val="Title"/>
    <w:basedOn w:val="Normal"/>
    <w:next w:val="Normal"/>
    <w:link w:val="TtuloCar"/>
    <w:rsid w:val="0064715E"/>
    <w:pPr>
      <w:keepNext/>
      <w:keepLines/>
      <w:spacing w:after="60" w:line="276" w:lineRule="auto"/>
    </w:pPr>
    <w:rPr>
      <w:rFonts w:ascii="Arial" w:eastAsia="Arial" w:hAnsi="Arial" w:cs="Arial"/>
      <w:sz w:val="52"/>
      <w:szCs w:val="52"/>
      <w:lang w:val="es-MX" w:eastAsia="es-MX"/>
    </w:rPr>
  </w:style>
  <w:style w:type="character" w:customStyle="1" w:styleId="TtuloCar">
    <w:name w:val="Título Car"/>
    <w:basedOn w:val="Fuentedeprrafopredeter"/>
    <w:link w:val="Ttulo"/>
    <w:rsid w:val="0064715E"/>
    <w:rPr>
      <w:rFonts w:ascii="Arial" w:eastAsia="Arial" w:hAnsi="Arial" w:cs="Arial"/>
      <w:sz w:val="52"/>
      <w:szCs w:val="52"/>
      <w:lang w:val="es-MX" w:eastAsia="es-MX"/>
    </w:rPr>
  </w:style>
  <w:style w:type="paragraph" w:styleId="Subttulo">
    <w:name w:val="Subtitle"/>
    <w:basedOn w:val="Normal"/>
    <w:next w:val="Normal"/>
    <w:link w:val="SubttuloCar"/>
    <w:rsid w:val="0064715E"/>
    <w:pPr>
      <w:keepNext/>
      <w:keepLines/>
      <w:spacing w:after="320" w:line="276" w:lineRule="auto"/>
    </w:pPr>
    <w:rPr>
      <w:rFonts w:ascii="Arial" w:eastAsia="Arial" w:hAnsi="Arial" w:cs="Arial"/>
      <w:color w:val="666666"/>
      <w:sz w:val="30"/>
      <w:szCs w:val="30"/>
      <w:lang w:val="es-MX" w:eastAsia="es-MX"/>
    </w:rPr>
  </w:style>
  <w:style w:type="character" w:customStyle="1" w:styleId="SubttuloCar">
    <w:name w:val="Subtítulo Car"/>
    <w:basedOn w:val="Fuentedeprrafopredeter"/>
    <w:link w:val="Subttulo"/>
    <w:rsid w:val="0064715E"/>
    <w:rPr>
      <w:rFonts w:ascii="Arial" w:eastAsia="Arial" w:hAnsi="Arial" w:cs="Arial"/>
      <w:color w:val="666666"/>
      <w:sz w:val="30"/>
      <w:szCs w:val="30"/>
      <w:lang w:val="es-MX" w:eastAsia="es-MX"/>
    </w:rPr>
  </w:style>
  <w:style w:type="character" w:styleId="nfasis">
    <w:name w:val="Emphasis"/>
    <w:basedOn w:val="Fuentedeprrafopredeter"/>
    <w:uiPriority w:val="20"/>
    <w:qFormat/>
    <w:rsid w:val="0064715E"/>
    <w:rPr>
      <w:i/>
      <w:iCs/>
    </w:rPr>
  </w:style>
  <w:style w:type="paragraph" w:customStyle="1" w:styleId="xl70">
    <w:name w:val="xl70"/>
    <w:basedOn w:val="Normal"/>
    <w:rsid w:val="006E1868"/>
    <w:pPr>
      <w:spacing w:before="100" w:beforeAutospacing="1" w:after="100" w:afterAutospacing="1"/>
    </w:pPr>
    <w:rPr>
      <w:rFonts w:ascii="Barlow" w:eastAsia="Times New Roman" w:hAnsi="Barlow" w:cs="Times New Roman"/>
      <w:lang w:val="es-MX" w:eastAsia="es-MX"/>
    </w:rPr>
  </w:style>
  <w:style w:type="paragraph" w:customStyle="1" w:styleId="xl71">
    <w:name w:val="xl71"/>
    <w:basedOn w:val="Normal"/>
    <w:rsid w:val="006E1868"/>
    <w:pPr>
      <w:shd w:val="clear" w:color="000000" w:fill="F2F2F2"/>
      <w:spacing w:before="100" w:beforeAutospacing="1" w:after="100" w:afterAutospacing="1"/>
    </w:pPr>
    <w:rPr>
      <w:rFonts w:ascii="Barlow Medium" w:eastAsia="Times New Roman" w:hAnsi="Barlow Medium" w:cs="Times New Roman"/>
      <w:lang w:val="es-MX" w:eastAsia="es-MX"/>
    </w:rPr>
  </w:style>
  <w:style w:type="paragraph" w:customStyle="1" w:styleId="xl72">
    <w:name w:val="xl72"/>
    <w:basedOn w:val="Normal"/>
    <w:rsid w:val="006E1868"/>
    <w:pPr>
      <w:pBdr>
        <w:top w:val="single" w:sz="4" w:space="0" w:color="000000"/>
        <w:left w:val="single" w:sz="4" w:space="0" w:color="000000"/>
      </w:pBdr>
      <w:shd w:val="clear" w:color="000000" w:fill="16365C"/>
      <w:spacing w:before="100" w:beforeAutospacing="1" w:after="100" w:afterAutospacing="1"/>
      <w:jc w:val="center"/>
      <w:textAlignment w:val="center"/>
    </w:pPr>
    <w:rPr>
      <w:rFonts w:ascii="Barlow Medium" w:eastAsia="Times New Roman" w:hAnsi="Barlow Medium" w:cs="Times New Roman"/>
      <w:b/>
      <w:bCs/>
      <w:color w:val="FFFFFF"/>
      <w:lang w:val="es-MX" w:eastAsia="es-MX"/>
    </w:rPr>
  </w:style>
  <w:style w:type="paragraph" w:customStyle="1" w:styleId="xl73">
    <w:name w:val="xl73"/>
    <w:basedOn w:val="Normal"/>
    <w:rsid w:val="006E1868"/>
    <w:pPr>
      <w:pBdr>
        <w:top w:val="single" w:sz="4" w:space="0" w:color="auto"/>
        <w:left w:val="single" w:sz="12" w:space="0" w:color="auto"/>
        <w:bottom w:val="single" w:sz="4" w:space="0" w:color="auto"/>
        <w:right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4">
    <w:name w:val="xl74"/>
    <w:basedOn w:val="Normal"/>
    <w:rsid w:val="006E186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5">
    <w:name w:val="xl75"/>
    <w:basedOn w:val="Normal"/>
    <w:rsid w:val="006E1868"/>
    <w:pPr>
      <w:pBdr>
        <w:top w:val="single" w:sz="4" w:space="0" w:color="auto"/>
        <w:left w:val="single" w:sz="4" w:space="0" w:color="auto"/>
        <w:bottom w:val="single" w:sz="4" w:space="0" w:color="auto"/>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6">
    <w:name w:val="xl76"/>
    <w:basedOn w:val="Normal"/>
    <w:rsid w:val="006E1868"/>
    <w:pPr>
      <w:pBdr>
        <w:top w:val="single" w:sz="4" w:space="0" w:color="auto"/>
        <w:left w:val="single" w:sz="4" w:space="0" w:color="auto"/>
        <w:bottom w:val="single" w:sz="4" w:space="0" w:color="auto"/>
        <w:right w:val="single" w:sz="4" w:space="0" w:color="000000"/>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7">
    <w:name w:val="xl77"/>
    <w:basedOn w:val="Normal"/>
    <w:rsid w:val="006E1868"/>
    <w:pPr>
      <w:pBdr>
        <w:top w:val="single" w:sz="4" w:space="0" w:color="auto"/>
        <w:left w:val="single" w:sz="4" w:space="0" w:color="auto"/>
        <w:bottom w:val="single" w:sz="4" w:space="0" w:color="auto"/>
        <w:right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8">
    <w:name w:val="xl78"/>
    <w:basedOn w:val="Normal"/>
    <w:rsid w:val="006E1868"/>
    <w:pPr>
      <w:pBdr>
        <w:top w:val="single" w:sz="4" w:space="0" w:color="auto"/>
        <w:left w:val="single" w:sz="4" w:space="0" w:color="auto"/>
        <w:bottom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9">
    <w:name w:val="xl79"/>
    <w:basedOn w:val="Normal"/>
    <w:rsid w:val="006E1868"/>
    <w:pPr>
      <w:pBdr>
        <w:top w:val="single" w:sz="4" w:space="0" w:color="auto"/>
        <w:left w:val="single" w:sz="4" w:space="0" w:color="auto"/>
        <w:bottom w:val="single" w:sz="4" w:space="0" w:color="auto"/>
        <w:right w:val="single" w:sz="4" w:space="0" w:color="000000"/>
      </w:pBdr>
      <w:spacing w:before="100" w:beforeAutospacing="1" w:after="100" w:afterAutospacing="1"/>
    </w:pPr>
    <w:rPr>
      <w:rFonts w:ascii="Barlow" w:eastAsia="Times New Roman" w:hAnsi="Barlow" w:cs="Times New Roman"/>
      <w:lang w:val="es-MX" w:eastAsia="es-MX"/>
    </w:rPr>
  </w:style>
  <w:style w:type="paragraph" w:customStyle="1" w:styleId="xl80">
    <w:name w:val="xl80"/>
    <w:basedOn w:val="Normal"/>
    <w:rsid w:val="006E1868"/>
    <w:pPr>
      <w:spacing w:before="100" w:beforeAutospacing="1" w:after="100" w:afterAutospacing="1"/>
      <w:textAlignment w:val="center"/>
    </w:pPr>
    <w:rPr>
      <w:rFonts w:ascii="Barlow" w:eastAsia="Times New Roman" w:hAnsi="Barlow" w:cs="Times New Roman"/>
      <w:b/>
      <w:bCs/>
      <w:sz w:val="28"/>
      <w:szCs w:val="28"/>
      <w:lang w:val="es-MX" w:eastAsia="es-MX"/>
    </w:rPr>
  </w:style>
  <w:style w:type="paragraph" w:customStyle="1" w:styleId="xl81">
    <w:name w:val="xl81"/>
    <w:basedOn w:val="Normal"/>
    <w:rsid w:val="006E1868"/>
    <w:pPr>
      <w:pBdr>
        <w:top w:val="single" w:sz="4" w:space="0" w:color="366092"/>
        <w:bottom w:val="single" w:sz="8" w:space="0" w:color="366092"/>
      </w:pBdr>
      <w:spacing w:before="100" w:beforeAutospacing="1" w:after="100" w:afterAutospacing="1"/>
    </w:pPr>
    <w:rPr>
      <w:rFonts w:ascii="Barlow" w:eastAsia="Times New Roman" w:hAnsi="Barlow" w:cs="Times New Roman"/>
      <w:b/>
      <w:bCs/>
      <w:lang w:val="es-MX" w:eastAsia="es-MX"/>
    </w:rPr>
  </w:style>
  <w:style w:type="paragraph" w:customStyle="1" w:styleId="xl82">
    <w:name w:val="xl82"/>
    <w:basedOn w:val="Normal"/>
    <w:rsid w:val="006E1868"/>
    <w:pPr>
      <w:pBdr>
        <w:top w:val="single" w:sz="4" w:space="0" w:color="366092"/>
        <w:bottom w:val="single" w:sz="8" w:space="0" w:color="366092"/>
      </w:pBdr>
      <w:spacing w:before="100" w:beforeAutospacing="1" w:after="100" w:afterAutospacing="1"/>
    </w:pPr>
    <w:rPr>
      <w:rFonts w:ascii="Barlow" w:eastAsia="Times New Roman" w:hAnsi="Barlow" w:cs="Times New Roman"/>
      <w:b/>
      <w:bCs/>
      <w:lang w:val="es-MX"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paragraph" w:styleId="Ttulo1">
    <w:name w:val="heading 1"/>
    <w:basedOn w:val="Normal"/>
    <w:next w:val="Normal"/>
    <w:link w:val="Ttulo1Car"/>
    <w:qFormat/>
    <w:rsid w:val="004850C2"/>
    <w:pPr>
      <w:keepNext/>
      <w:keepLines/>
      <w:spacing w:before="480" w:line="276" w:lineRule="auto"/>
      <w:outlineLvl w:val="0"/>
    </w:pPr>
    <w:rPr>
      <w:rFonts w:asciiTheme="majorHAnsi" w:eastAsiaTheme="majorEastAsia" w:hAnsiTheme="majorHAnsi" w:cstheme="majorBidi"/>
      <w:b/>
      <w:bCs/>
      <w:color w:val="374C80" w:themeColor="accent1" w:themeShade="BF"/>
      <w:sz w:val="28"/>
      <w:szCs w:val="28"/>
      <w:lang w:val="es-MX" w:eastAsia="es-MX"/>
    </w:rPr>
  </w:style>
  <w:style w:type="paragraph" w:styleId="Ttulo2">
    <w:name w:val="heading 2"/>
    <w:basedOn w:val="Normal"/>
    <w:next w:val="Normal"/>
    <w:link w:val="Ttulo2Car"/>
    <w:unhideWhenUsed/>
    <w:qFormat/>
    <w:rsid w:val="004850C2"/>
    <w:pPr>
      <w:keepNext/>
      <w:keepLines/>
      <w:spacing w:before="200" w:line="256" w:lineRule="auto"/>
      <w:outlineLvl w:val="1"/>
    </w:pPr>
    <w:rPr>
      <w:rFonts w:asciiTheme="majorHAnsi" w:eastAsiaTheme="majorEastAsia" w:hAnsiTheme="majorHAnsi" w:cstheme="majorBidi"/>
      <w:b/>
      <w:bCs/>
      <w:color w:val="4A66AC" w:themeColor="accent1"/>
      <w:sz w:val="26"/>
      <w:szCs w:val="26"/>
      <w:lang w:val="es-MX" w:eastAsia="en-US"/>
    </w:rPr>
  </w:style>
  <w:style w:type="paragraph" w:styleId="Ttulo3">
    <w:name w:val="heading 3"/>
    <w:basedOn w:val="Normal"/>
    <w:next w:val="Normal"/>
    <w:link w:val="Ttulo3Car"/>
    <w:rsid w:val="0064715E"/>
    <w:pPr>
      <w:keepNext/>
      <w:keepLines/>
      <w:spacing w:before="320" w:after="80" w:line="276" w:lineRule="auto"/>
      <w:outlineLvl w:val="2"/>
    </w:pPr>
    <w:rPr>
      <w:rFonts w:ascii="Arial" w:eastAsia="Arial" w:hAnsi="Arial" w:cs="Arial"/>
      <w:color w:val="434343"/>
      <w:sz w:val="28"/>
      <w:szCs w:val="28"/>
      <w:lang w:val="es-MX" w:eastAsia="es-MX"/>
    </w:rPr>
  </w:style>
  <w:style w:type="paragraph" w:styleId="Ttulo4">
    <w:name w:val="heading 4"/>
    <w:basedOn w:val="Normal"/>
    <w:next w:val="Normal"/>
    <w:link w:val="Ttulo4Car"/>
    <w:rsid w:val="0064715E"/>
    <w:pPr>
      <w:keepNext/>
      <w:keepLines/>
      <w:spacing w:before="280" w:after="80" w:line="276" w:lineRule="auto"/>
      <w:outlineLvl w:val="3"/>
    </w:pPr>
    <w:rPr>
      <w:rFonts w:ascii="Arial" w:eastAsia="Arial" w:hAnsi="Arial" w:cs="Arial"/>
      <w:color w:val="666666"/>
      <w:lang w:val="es-MX" w:eastAsia="es-MX"/>
    </w:rPr>
  </w:style>
  <w:style w:type="paragraph" w:styleId="Ttulo5">
    <w:name w:val="heading 5"/>
    <w:basedOn w:val="Normal"/>
    <w:next w:val="Normal"/>
    <w:link w:val="Ttulo5Car"/>
    <w:rsid w:val="0064715E"/>
    <w:pPr>
      <w:keepNext/>
      <w:keepLines/>
      <w:spacing w:before="240" w:after="80" w:line="276" w:lineRule="auto"/>
      <w:outlineLvl w:val="4"/>
    </w:pPr>
    <w:rPr>
      <w:rFonts w:ascii="Arial" w:eastAsia="Arial" w:hAnsi="Arial" w:cs="Arial"/>
      <w:color w:val="666666"/>
      <w:sz w:val="22"/>
      <w:szCs w:val="22"/>
      <w:lang w:val="es-MX" w:eastAsia="es-MX"/>
    </w:rPr>
  </w:style>
  <w:style w:type="paragraph" w:styleId="Ttulo6">
    <w:name w:val="heading 6"/>
    <w:basedOn w:val="Normal"/>
    <w:next w:val="Normal"/>
    <w:link w:val="Ttulo6Car"/>
    <w:rsid w:val="0064715E"/>
    <w:pPr>
      <w:keepNext/>
      <w:keepLines/>
      <w:spacing w:before="240" w:after="80" w:line="276" w:lineRule="auto"/>
      <w:outlineLvl w:val="5"/>
    </w:pPr>
    <w:rPr>
      <w:rFonts w:ascii="Arial" w:eastAsia="Arial" w:hAnsi="Arial" w:cs="Arial"/>
      <w:i/>
      <w:color w:val="666666"/>
      <w:sz w:val="22"/>
      <w:szCs w:val="22"/>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50C2"/>
    <w:rPr>
      <w:rFonts w:asciiTheme="majorHAnsi" w:eastAsiaTheme="majorEastAsia" w:hAnsiTheme="majorHAnsi" w:cstheme="majorBidi"/>
      <w:b/>
      <w:bCs/>
      <w:color w:val="374C80" w:themeColor="accent1" w:themeShade="BF"/>
      <w:sz w:val="28"/>
      <w:szCs w:val="28"/>
      <w:lang w:val="es-MX" w:eastAsia="es-MX"/>
    </w:rPr>
  </w:style>
  <w:style w:type="character" w:customStyle="1" w:styleId="Ttulo2Car">
    <w:name w:val="Título 2 Car"/>
    <w:basedOn w:val="Fuentedeprrafopredeter"/>
    <w:link w:val="Ttulo2"/>
    <w:uiPriority w:val="9"/>
    <w:semiHidden/>
    <w:rsid w:val="004850C2"/>
    <w:rPr>
      <w:rFonts w:asciiTheme="majorHAnsi" w:eastAsiaTheme="majorEastAsia" w:hAnsiTheme="majorHAnsi" w:cstheme="majorBidi"/>
      <w:b/>
      <w:bCs/>
      <w:color w:val="4A66AC" w:themeColor="accent1"/>
      <w:sz w:val="26"/>
      <w:szCs w:val="26"/>
      <w:lang w:val="es-MX" w:eastAsia="en-US"/>
    </w:rPr>
  </w:style>
  <w:style w:type="character" w:customStyle="1" w:styleId="Ttulo3Car">
    <w:name w:val="Título 3 Car"/>
    <w:basedOn w:val="Fuentedeprrafopredeter"/>
    <w:link w:val="Ttulo3"/>
    <w:rsid w:val="0064715E"/>
    <w:rPr>
      <w:rFonts w:ascii="Arial" w:eastAsia="Arial" w:hAnsi="Arial" w:cs="Arial"/>
      <w:color w:val="434343"/>
      <w:sz w:val="28"/>
      <w:szCs w:val="28"/>
      <w:lang w:val="es-MX" w:eastAsia="es-MX"/>
    </w:rPr>
  </w:style>
  <w:style w:type="character" w:customStyle="1" w:styleId="Ttulo4Car">
    <w:name w:val="Título 4 Car"/>
    <w:basedOn w:val="Fuentedeprrafopredeter"/>
    <w:link w:val="Ttulo4"/>
    <w:rsid w:val="0064715E"/>
    <w:rPr>
      <w:rFonts w:ascii="Arial" w:eastAsia="Arial" w:hAnsi="Arial" w:cs="Arial"/>
      <w:color w:val="666666"/>
      <w:lang w:val="es-MX" w:eastAsia="es-MX"/>
    </w:rPr>
  </w:style>
  <w:style w:type="character" w:customStyle="1" w:styleId="Ttulo5Car">
    <w:name w:val="Título 5 Car"/>
    <w:basedOn w:val="Fuentedeprrafopredeter"/>
    <w:link w:val="Ttulo5"/>
    <w:rsid w:val="0064715E"/>
    <w:rPr>
      <w:rFonts w:ascii="Arial" w:eastAsia="Arial" w:hAnsi="Arial" w:cs="Arial"/>
      <w:color w:val="666666"/>
      <w:sz w:val="22"/>
      <w:szCs w:val="22"/>
      <w:lang w:val="es-MX" w:eastAsia="es-MX"/>
    </w:rPr>
  </w:style>
  <w:style w:type="character" w:customStyle="1" w:styleId="Ttulo6Car">
    <w:name w:val="Título 6 Car"/>
    <w:basedOn w:val="Fuentedeprrafopredeter"/>
    <w:link w:val="Ttulo6"/>
    <w:rsid w:val="0064715E"/>
    <w:rPr>
      <w:rFonts w:ascii="Arial" w:eastAsia="Arial" w:hAnsi="Arial" w:cs="Arial"/>
      <w:i/>
      <w:color w:val="666666"/>
      <w:sz w:val="22"/>
      <w:szCs w:val="22"/>
      <w:lang w:val="es-MX" w:eastAsia="es-MX"/>
    </w:rPr>
  </w:style>
  <w:style w:type="paragraph" w:styleId="Encabezado">
    <w:name w:val="header"/>
    <w:basedOn w:val="Normal"/>
    <w:link w:val="EncabezadoCar"/>
    <w:uiPriority w:val="99"/>
    <w:unhideWhenUsed/>
    <w:rsid w:val="009E7CE6"/>
    <w:pPr>
      <w:tabs>
        <w:tab w:val="center" w:pos="4419"/>
        <w:tab w:val="right" w:pos="8838"/>
      </w:tabs>
    </w:pPr>
  </w:style>
  <w:style w:type="character" w:customStyle="1" w:styleId="EncabezadoCar">
    <w:name w:val="Encabezado Car"/>
    <w:basedOn w:val="Fuentedeprrafopredeter"/>
    <w:link w:val="Encabezado"/>
    <w:uiPriority w:val="99"/>
    <w:rsid w:val="009E7CE6"/>
    <w:rPr>
      <w:lang w:val="es-ES_tradnl"/>
    </w:rPr>
  </w:style>
  <w:style w:type="paragraph" w:styleId="Piedepgina">
    <w:name w:val="footer"/>
    <w:basedOn w:val="Normal"/>
    <w:link w:val="PiedepginaCar"/>
    <w:uiPriority w:val="99"/>
    <w:unhideWhenUsed/>
    <w:rsid w:val="009E7CE6"/>
    <w:pPr>
      <w:tabs>
        <w:tab w:val="center" w:pos="4419"/>
        <w:tab w:val="right" w:pos="8838"/>
      </w:tabs>
    </w:pPr>
  </w:style>
  <w:style w:type="character" w:customStyle="1" w:styleId="PiedepginaCar">
    <w:name w:val="Pie de página Car"/>
    <w:basedOn w:val="Fuentedeprrafopredeter"/>
    <w:link w:val="Piedepgina"/>
    <w:uiPriority w:val="99"/>
    <w:rsid w:val="009E7CE6"/>
    <w:rPr>
      <w:lang w:val="es-ES_tradnl"/>
    </w:rPr>
  </w:style>
  <w:style w:type="paragraph" w:styleId="Textodeglobo">
    <w:name w:val="Balloon Text"/>
    <w:basedOn w:val="Normal"/>
    <w:link w:val="TextodegloboCar"/>
    <w:uiPriority w:val="99"/>
    <w:semiHidden/>
    <w:unhideWhenUsed/>
    <w:rsid w:val="009E7CE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9E7CE6"/>
    <w:rPr>
      <w:rFonts w:ascii="Lucida Grande" w:hAnsi="Lucida Grande" w:cs="Lucida Grande"/>
      <w:sz w:val="18"/>
      <w:szCs w:val="18"/>
      <w:lang w:val="es-ES_tradnl"/>
    </w:rPr>
  </w:style>
  <w:style w:type="table" w:customStyle="1" w:styleId="Tablaconcuadrcula4-nfasis61">
    <w:name w:val="Tabla con cuadrícula 4 - Énfasis 61"/>
    <w:basedOn w:val="Tablanormal"/>
    <w:uiPriority w:val="49"/>
    <w:rsid w:val="005E5FC5"/>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insideV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insideV w:val="nil"/>
        </w:tcBorders>
        <w:shd w:val="clear" w:color="auto" w:fill="9D90A0" w:themeFill="accent6"/>
      </w:tcPr>
    </w:tblStylePr>
    <w:tblStylePr w:type="lastRow">
      <w:rPr>
        <w:b/>
        <w:bCs/>
      </w:rPr>
      <w:tblPr/>
      <w:tcPr>
        <w:tcBorders>
          <w:top w:val="double" w:sz="4" w:space="0" w:color="9D90A0" w:themeColor="accent6"/>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styleId="Prrafodelista">
    <w:name w:val="List Paragraph"/>
    <w:basedOn w:val="Normal"/>
    <w:uiPriority w:val="34"/>
    <w:qFormat/>
    <w:rsid w:val="00EF4B22"/>
    <w:pPr>
      <w:spacing w:after="160" w:line="259" w:lineRule="auto"/>
      <w:ind w:left="720"/>
      <w:contextualSpacing/>
    </w:pPr>
    <w:rPr>
      <w:rFonts w:eastAsiaTheme="minorHAnsi"/>
      <w:sz w:val="22"/>
      <w:szCs w:val="22"/>
      <w:lang w:val="en-US" w:eastAsia="en-US"/>
    </w:rPr>
  </w:style>
  <w:style w:type="paragraph" w:styleId="Textonotapie">
    <w:name w:val="footnote text"/>
    <w:basedOn w:val="Normal"/>
    <w:link w:val="TextonotapieCar"/>
    <w:uiPriority w:val="99"/>
    <w:semiHidden/>
    <w:unhideWhenUsed/>
    <w:rsid w:val="00EF4B22"/>
    <w:rPr>
      <w:rFonts w:eastAsiaTheme="minorHAnsi"/>
      <w:sz w:val="20"/>
      <w:szCs w:val="20"/>
      <w:lang w:val="en-US" w:eastAsia="en-US"/>
    </w:rPr>
  </w:style>
  <w:style w:type="character" w:customStyle="1" w:styleId="TextonotapieCar">
    <w:name w:val="Texto nota pie Car"/>
    <w:basedOn w:val="Fuentedeprrafopredeter"/>
    <w:link w:val="Textonotapie"/>
    <w:uiPriority w:val="99"/>
    <w:semiHidden/>
    <w:rsid w:val="00EF4B22"/>
    <w:rPr>
      <w:rFonts w:eastAsiaTheme="minorHAnsi"/>
      <w:sz w:val="20"/>
      <w:szCs w:val="20"/>
      <w:lang w:eastAsia="en-US"/>
    </w:rPr>
  </w:style>
  <w:style w:type="character" w:styleId="Refdenotaalpie">
    <w:name w:val="footnote reference"/>
    <w:aliases w:val="ftref,脚注引用,16 Point,Superscript 6 Point,Fußnotenzeichen DISS,fr,Superscript 6 Point + 11 pt,BVI fnr,BVI fnr Car Car,BVI fnr Car,BVI fnr Car Car Car Car,Footnote text"/>
    <w:basedOn w:val="Fuentedeprrafopredeter"/>
    <w:uiPriority w:val="99"/>
    <w:semiHidden/>
    <w:unhideWhenUsed/>
    <w:rsid w:val="00EF4B22"/>
    <w:rPr>
      <w:vertAlign w:val="superscript"/>
    </w:rPr>
  </w:style>
  <w:style w:type="character" w:styleId="Hipervnculo">
    <w:name w:val="Hyperlink"/>
    <w:basedOn w:val="Fuentedeprrafopredeter"/>
    <w:uiPriority w:val="99"/>
    <w:unhideWhenUsed/>
    <w:rsid w:val="00EF4B22"/>
    <w:rPr>
      <w:color w:val="9454C3" w:themeColor="hyperlink"/>
      <w:u w:val="single"/>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0C44BA"/>
    <w:pPr>
      <w:spacing w:before="100" w:beforeAutospacing="1" w:after="100" w:afterAutospacing="1"/>
    </w:pPr>
    <w:rPr>
      <w:rFonts w:ascii="Times New Roman" w:eastAsia="Times New Roman" w:hAnsi="Times New Roman" w:cs="Times New Roman"/>
      <w:lang w:val="es-MX" w:eastAsia="es-MX"/>
    </w:r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basedOn w:val="Fuentedeprrafopredeter"/>
    <w:link w:val="NormalWeb"/>
    <w:uiPriority w:val="99"/>
    <w:rsid w:val="00A61C22"/>
    <w:rPr>
      <w:rFonts w:ascii="Times New Roman" w:eastAsia="Times New Roman" w:hAnsi="Times New Roman" w:cs="Times New Roman"/>
      <w:lang w:val="es-MX" w:eastAsia="es-MX"/>
    </w:rPr>
  </w:style>
  <w:style w:type="character" w:styleId="Refdecomentario">
    <w:name w:val="annotation reference"/>
    <w:basedOn w:val="Fuentedeprrafopredeter"/>
    <w:uiPriority w:val="99"/>
    <w:semiHidden/>
    <w:unhideWhenUsed/>
    <w:rsid w:val="000C44BA"/>
    <w:rPr>
      <w:sz w:val="16"/>
      <w:szCs w:val="16"/>
    </w:rPr>
  </w:style>
  <w:style w:type="paragraph" w:styleId="Textocomentario">
    <w:name w:val="annotation text"/>
    <w:basedOn w:val="Normal"/>
    <w:link w:val="TextocomentarioCar"/>
    <w:uiPriority w:val="99"/>
    <w:unhideWhenUsed/>
    <w:rsid w:val="000C44BA"/>
    <w:pPr>
      <w:spacing w:after="160"/>
    </w:pPr>
    <w:rPr>
      <w:rFonts w:eastAsiaTheme="minorHAnsi"/>
      <w:sz w:val="20"/>
      <w:szCs w:val="20"/>
      <w:lang w:val="en-US" w:eastAsia="en-US"/>
    </w:rPr>
  </w:style>
  <w:style w:type="character" w:customStyle="1" w:styleId="TextocomentarioCar">
    <w:name w:val="Texto comentario Car"/>
    <w:basedOn w:val="Fuentedeprrafopredeter"/>
    <w:link w:val="Textocomentario"/>
    <w:uiPriority w:val="99"/>
    <w:rsid w:val="000C44BA"/>
    <w:rPr>
      <w:rFonts w:eastAsiaTheme="minorHAnsi"/>
      <w:sz w:val="20"/>
      <w:szCs w:val="20"/>
      <w:lang w:eastAsia="en-US"/>
    </w:rPr>
  </w:style>
  <w:style w:type="paragraph" w:customStyle="1" w:styleId="CM162">
    <w:name w:val="CM162"/>
    <w:basedOn w:val="Normal"/>
    <w:next w:val="Normal"/>
    <w:uiPriority w:val="99"/>
    <w:rsid w:val="00B24094"/>
    <w:pPr>
      <w:widowControl w:val="0"/>
      <w:autoSpaceDE w:val="0"/>
      <w:autoSpaceDN w:val="0"/>
      <w:adjustRightInd w:val="0"/>
    </w:pPr>
    <w:rPr>
      <w:rFonts w:ascii="Soberana Titular" w:eastAsia="Times New Roman" w:hAnsi="Soberana Titular" w:cs="Times New Roman"/>
      <w:lang w:val="es-ES"/>
    </w:rPr>
  </w:style>
  <w:style w:type="paragraph" w:customStyle="1" w:styleId="CM166">
    <w:name w:val="CM166"/>
    <w:basedOn w:val="Normal"/>
    <w:next w:val="Normal"/>
    <w:uiPriority w:val="99"/>
    <w:rsid w:val="00B24094"/>
    <w:pPr>
      <w:widowControl w:val="0"/>
      <w:autoSpaceDE w:val="0"/>
      <w:autoSpaceDN w:val="0"/>
      <w:adjustRightInd w:val="0"/>
    </w:pPr>
    <w:rPr>
      <w:rFonts w:ascii="Soberana Titular" w:eastAsia="Times New Roman" w:hAnsi="Soberana Titular" w:cs="Times New Roman"/>
      <w:lang w:val="es-ES"/>
    </w:rPr>
  </w:style>
  <w:style w:type="paragraph" w:customStyle="1" w:styleId="msonormal0">
    <w:name w:val="msonormal"/>
    <w:basedOn w:val="Normal"/>
    <w:rsid w:val="004850C2"/>
    <w:pPr>
      <w:spacing w:before="100" w:beforeAutospacing="1" w:after="100" w:afterAutospacing="1"/>
    </w:pPr>
    <w:rPr>
      <w:rFonts w:ascii="Times New Roman" w:eastAsia="Times New Roman" w:hAnsi="Times New Roman" w:cs="Times New Roman"/>
      <w:lang w:val="es-MX" w:eastAsia="es-MX"/>
    </w:rPr>
  </w:style>
  <w:style w:type="paragraph" w:styleId="Epgrafe">
    <w:name w:val="caption"/>
    <w:basedOn w:val="Normal"/>
    <w:next w:val="Normal"/>
    <w:uiPriority w:val="35"/>
    <w:semiHidden/>
    <w:unhideWhenUsed/>
    <w:qFormat/>
    <w:rsid w:val="004850C2"/>
    <w:pPr>
      <w:widowControl w:val="0"/>
      <w:spacing w:after="200"/>
    </w:pPr>
    <w:rPr>
      <w:rFonts w:eastAsiaTheme="minorHAnsi"/>
      <w:b/>
      <w:bCs/>
      <w:color w:val="4A66AC" w:themeColor="accent1"/>
      <w:sz w:val="18"/>
      <w:szCs w:val="18"/>
      <w:lang w:val="es-MX" w:eastAsia="en-US"/>
    </w:rPr>
  </w:style>
  <w:style w:type="character" w:customStyle="1" w:styleId="TextonotaalfinalCar">
    <w:name w:val="Texto nota al final Car"/>
    <w:basedOn w:val="Fuentedeprrafopredeter"/>
    <w:link w:val="Textonotaalfinal"/>
    <w:uiPriority w:val="99"/>
    <w:semiHidden/>
    <w:rsid w:val="004850C2"/>
    <w:rPr>
      <w:rFonts w:eastAsiaTheme="minorHAnsi"/>
      <w:sz w:val="20"/>
      <w:szCs w:val="20"/>
      <w:lang w:val="es-MX" w:eastAsia="en-US"/>
    </w:rPr>
  </w:style>
  <w:style w:type="paragraph" w:styleId="Textonotaalfinal">
    <w:name w:val="endnote text"/>
    <w:basedOn w:val="Normal"/>
    <w:link w:val="TextonotaalfinalCar"/>
    <w:uiPriority w:val="99"/>
    <w:semiHidden/>
    <w:unhideWhenUsed/>
    <w:rsid w:val="004850C2"/>
    <w:pPr>
      <w:widowControl w:val="0"/>
    </w:pPr>
    <w:rPr>
      <w:rFonts w:eastAsiaTheme="minorHAnsi"/>
      <w:sz w:val="20"/>
      <w:szCs w:val="20"/>
      <w:lang w:val="es-MX" w:eastAsia="en-US"/>
    </w:rPr>
  </w:style>
  <w:style w:type="character" w:customStyle="1" w:styleId="AsuntodelcomentarioCar">
    <w:name w:val="Asunto del comentario Car"/>
    <w:basedOn w:val="TextocomentarioCar"/>
    <w:link w:val="Asuntodelcomentario"/>
    <w:uiPriority w:val="99"/>
    <w:semiHidden/>
    <w:rsid w:val="004850C2"/>
    <w:rPr>
      <w:rFonts w:eastAsiaTheme="minorHAnsi"/>
      <w:b/>
      <w:bCs/>
      <w:sz w:val="20"/>
      <w:szCs w:val="20"/>
      <w:lang w:val="es-MX" w:eastAsia="en-US"/>
    </w:rPr>
  </w:style>
  <w:style w:type="paragraph" w:styleId="Asuntodelcomentario">
    <w:name w:val="annotation subject"/>
    <w:basedOn w:val="Textocomentario"/>
    <w:next w:val="Textocomentario"/>
    <w:link w:val="AsuntodelcomentarioCar"/>
    <w:uiPriority w:val="99"/>
    <w:semiHidden/>
    <w:unhideWhenUsed/>
    <w:rsid w:val="004850C2"/>
    <w:pPr>
      <w:widowControl w:val="0"/>
      <w:spacing w:after="200"/>
    </w:pPr>
    <w:rPr>
      <w:b/>
      <w:bCs/>
      <w:lang w:val="es-MX"/>
    </w:rPr>
  </w:style>
  <w:style w:type="paragraph" w:styleId="Revisin">
    <w:name w:val="Revision"/>
    <w:uiPriority w:val="99"/>
    <w:semiHidden/>
    <w:rsid w:val="004850C2"/>
    <w:rPr>
      <w:rFonts w:eastAsiaTheme="minorHAnsi"/>
      <w:sz w:val="22"/>
      <w:szCs w:val="22"/>
      <w:lang w:val="es-MX" w:eastAsia="en-US"/>
    </w:rPr>
  </w:style>
  <w:style w:type="character" w:styleId="Refdenotaalfinal">
    <w:name w:val="endnote reference"/>
    <w:basedOn w:val="Fuentedeprrafopredeter"/>
    <w:uiPriority w:val="99"/>
    <w:semiHidden/>
    <w:unhideWhenUsed/>
    <w:rsid w:val="004850C2"/>
    <w:rPr>
      <w:vertAlign w:val="superscript"/>
    </w:rPr>
  </w:style>
  <w:style w:type="character" w:customStyle="1" w:styleId="apple-converted-space">
    <w:name w:val="apple-converted-space"/>
    <w:basedOn w:val="Fuentedeprrafopredeter"/>
    <w:rsid w:val="004850C2"/>
  </w:style>
  <w:style w:type="table" w:styleId="Listaclara">
    <w:name w:val="Light List"/>
    <w:basedOn w:val="Tablanormal"/>
    <w:uiPriority w:val="61"/>
    <w:semiHidden/>
    <w:unhideWhenUsed/>
    <w:rsid w:val="004850C2"/>
    <w:rPr>
      <w:sz w:val="22"/>
      <w:szCs w:val="22"/>
      <w:lang w:val="es-MX" w:eastAsia="es-MX"/>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semiHidden/>
    <w:unhideWhenUsed/>
    <w:rsid w:val="004850C2"/>
    <w:rPr>
      <w:rFonts w:eastAsiaTheme="minorHAnsi"/>
      <w:sz w:val="22"/>
      <w:szCs w:val="22"/>
      <w:lang w:val="es-MX" w:eastAsia="en-US"/>
    </w:rPr>
    <w:tblPr>
      <w:tblStyleRowBandSize w:val="1"/>
      <w:tblStyleColBandSize w:val="1"/>
      <w:tblInd w:w="0" w:type="nil"/>
      <w:tblBorders>
        <w:top w:val="single" w:sz="8" w:space="0" w:color="4A66AC" w:themeColor="accent1"/>
        <w:left w:val="single" w:sz="8" w:space="0" w:color="4A66AC" w:themeColor="accent1"/>
        <w:bottom w:val="single" w:sz="8" w:space="0" w:color="4A66AC" w:themeColor="accent1"/>
        <w:right w:val="single" w:sz="8" w:space="0" w:color="4A66AC"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A66AC" w:themeFill="accent1"/>
      </w:tcPr>
    </w:tblStylePr>
    <w:tblStylePr w:type="lastRow">
      <w:pPr>
        <w:spacing w:beforeLines="0" w:before="0" w:beforeAutospacing="0" w:afterLines="0" w:after="0" w:afterAutospacing="0" w:line="240" w:lineRule="auto"/>
      </w:pPr>
      <w:rPr>
        <w:b/>
        <w:bCs/>
      </w:rPr>
      <w:tblPr/>
      <w:tcPr>
        <w:tcBorders>
          <w:top w:val="double" w:sz="6" w:space="0" w:color="4A66AC" w:themeColor="accent1"/>
          <w:left w:val="single" w:sz="8" w:space="0" w:color="4A66AC" w:themeColor="accent1"/>
          <w:bottom w:val="single" w:sz="8" w:space="0" w:color="4A66AC" w:themeColor="accent1"/>
          <w:right w:val="single" w:sz="8" w:space="0" w:color="4A66AC" w:themeColor="accent1"/>
        </w:tcBorders>
      </w:tcPr>
    </w:tblStylePr>
    <w:tblStylePr w:type="firstCol">
      <w:rPr>
        <w:b/>
        <w:bCs/>
      </w:rPr>
    </w:tblStylePr>
    <w:tblStylePr w:type="lastCol">
      <w:rPr>
        <w:b/>
        <w:bCs/>
      </w:rPr>
    </w:tblStylePr>
    <w:tblStylePr w:type="band1Vert">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tblStylePr w:type="band1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style>
  <w:style w:type="table" w:styleId="Sombreadomedio1-nfasis1">
    <w:name w:val="Medium Shading 1 Accent 1"/>
    <w:basedOn w:val="Tablanormal"/>
    <w:uiPriority w:val="63"/>
    <w:semiHidden/>
    <w:unhideWhenUsed/>
    <w:rsid w:val="004850C2"/>
    <w:rPr>
      <w:sz w:val="22"/>
      <w:szCs w:val="22"/>
      <w:lang w:val="es-MX" w:eastAsia="es-MX"/>
    </w:rPr>
    <w:tblPr>
      <w:tblStyleRowBandSize w:val="1"/>
      <w:tblStyleColBandSize w:val="1"/>
      <w:tblInd w:w="0" w:type="nil"/>
      <w:tbl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single" w:sz="8" w:space="0" w:color="748AC3" w:themeColor="accent1" w:themeTint="BF"/>
      </w:tblBorders>
    </w:tblPr>
    <w:tcPr>
      <w:shd w:val="clear" w:color="auto" w:fill="F2F2F2" w:themeFill="background1" w:themeFillShade="F2"/>
    </w:tcPr>
    <w:tblStylePr w:type="firstRow">
      <w:pPr>
        <w:spacing w:beforeLines="0" w:before="0" w:beforeAutospacing="0" w:afterLines="0" w:after="0" w:afterAutospacing="0" w:line="240" w:lineRule="auto"/>
      </w:pPr>
      <w:rPr>
        <w:b/>
        <w:bCs/>
        <w:color w:val="FFFFFF" w:themeColor="background1"/>
      </w:rPr>
      <w:tblPr/>
      <w:tcPr>
        <w:shd w:val="clear" w:color="auto" w:fill="16365C"/>
      </w:tcPr>
    </w:tblStylePr>
    <w:tblStylePr w:type="lastRow">
      <w:pPr>
        <w:spacing w:beforeLines="0" w:before="0" w:beforeAutospacing="0" w:afterLines="0" w:after="0" w:afterAutospacing="0" w:line="240" w:lineRule="auto"/>
      </w:pPr>
      <w:rPr>
        <w:b/>
        <w:bCs/>
      </w:rPr>
      <w:tblPr/>
      <w:tcPr>
        <w:tcBorders>
          <w:top w:val="double" w:sz="6"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4850C2"/>
    <w:rPr>
      <w:rFonts w:eastAsiaTheme="minorHAnsi"/>
      <w:sz w:val="22"/>
      <w:szCs w:val="22"/>
      <w:lang w:val="es-MX" w:eastAsia="en-US"/>
    </w:rPr>
    <w:tblPr>
      <w:tblStyleRowBandSize w:val="1"/>
      <w:tblStyleColBandSize w:val="1"/>
      <w:tblInd w:w="0" w:type="nil"/>
      <w:tblBorders>
        <w:top w:val="single" w:sz="8" w:space="0" w:color="7F8FA9" w:themeColor="accent4"/>
        <w:left w:val="single" w:sz="8" w:space="0" w:color="7F8FA9" w:themeColor="accent4"/>
        <w:bottom w:val="single" w:sz="8" w:space="0" w:color="7F8FA9" w:themeColor="accent4"/>
        <w:right w:val="single" w:sz="8" w:space="0" w:color="7F8FA9" w:themeColor="accent4"/>
      </w:tblBorders>
    </w:tblPr>
    <w:tblStylePr w:type="firstRow">
      <w:pPr>
        <w:spacing w:beforeLines="0" w:before="0" w:beforeAutospacing="0" w:afterLines="0" w:after="0" w:afterAutospacing="0" w:line="240" w:lineRule="auto"/>
      </w:pPr>
      <w:rPr>
        <w:b/>
        <w:bCs/>
        <w:color w:val="FFFFFF" w:themeColor="background1"/>
      </w:rPr>
      <w:tblPr/>
      <w:tcPr>
        <w:shd w:val="clear" w:color="auto" w:fill="7F8FA9" w:themeFill="accent4"/>
      </w:tcPr>
    </w:tblStylePr>
    <w:tblStylePr w:type="lastRow">
      <w:pPr>
        <w:spacing w:beforeLines="0" w:before="0" w:beforeAutospacing="0" w:afterLines="0" w:after="0" w:afterAutospacing="0" w:line="240" w:lineRule="auto"/>
      </w:pPr>
      <w:rPr>
        <w:b/>
        <w:bCs/>
      </w:rPr>
      <w:tblPr/>
      <w:tcPr>
        <w:tcBorders>
          <w:top w:val="double" w:sz="6" w:space="0" w:color="7F8FA9" w:themeColor="accent4"/>
          <w:left w:val="single" w:sz="8" w:space="0" w:color="7F8FA9" w:themeColor="accent4"/>
          <w:bottom w:val="single" w:sz="8" w:space="0" w:color="7F8FA9" w:themeColor="accent4"/>
          <w:right w:val="single" w:sz="8" w:space="0" w:color="7F8FA9" w:themeColor="accent4"/>
        </w:tcBorders>
      </w:tcPr>
    </w:tblStylePr>
    <w:tblStylePr w:type="firstCol">
      <w:rPr>
        <w:b/>
        <w:bCs/>
      </w:rPr>
    </w:tblStylePr>
    <w:tblStylePr w:type="lastCol">
      <w:rPr>
        <w:b/>
        <w:bCs/>
      </w:rPr>
    </w:tblStylePr>
    <w:tblStylePr w:type="band1Vert">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tblStylePr w:type="band1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style>
  <w:style w:type="table" w:styleId="Cuadrculaclara-nfasis4">
    <w:name w:val="Light Grid Accent 4"/>
    <w:basedOn w:val="Tablanormal"/>
    <w:uiPriority w:val="62"/>
    <w:semiHidden/>
    <w:unhideWhenUsed/>
    <w:rsid w:val="004850C2"/>
    <w:rPr>
      <w:rFonts w:eastAsiaTheme="minorHAnsi"/>
      <w:sz w:val="22"/>
      <w:szCs w:val="22"/>
      <w:lang w:val="es-MX" w:eastAsia="en-US"/>
    </w:rPr>
    <w:tblPr>
      <w:tblStyleRowBandSize w:val="1"/>
      <w:tblStyleColBandSize w:val="1"/>
      <w:tblInd w:w="0" w:type="nil"/>
      <w:tblBorders>
        <w:top w:val="single" w:sz="8" w:space="0" w:color="7F8FA9" w:themeColor="accent4"/>
        <w:left w:val="single" w:sz="8" w:space="0" w:color="7F8FA9" w:themeColor="accent4"/>
        <w:bottom w:val="single" w:sz="8" w:space="0" w:color="7F8FA9" w:themeColor="accent4"/>
        <w:right w:val="single" w:sz="8" w:space="0" w:color="7F8FA9" w:themeColor="accent4"/>
        <w:insideH w:val="single" w:sz="8" w:space="0" w:color="7F8FA9" w:themeColor="accent4"/>
        <w:insideV w:val="single" w:sz="8" w:space="0" w:color="7F8FA9" w:themeColor="accent4"/>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7F8FA9" w:themeColor="accent4"/>
          <w:left w:val="single" w:sz="8" w:space="0" w:color="7F8FA9" w:themeColor="accent4"/>
          <w:bottom w:val="single" w:sz="18" w:space="0" w:color="7F8FA9" w:themeColor="accent4"/>
          <w:right w:val="single" w:sz="8" w:space="0" w:color="7F8FA9" w:themeColor="accent4"/>
          <w:insideH w:val="nil"/>
          <w:insideV w:val="single" w:sz="8" w:space="0" w:color="7F8FA9"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7F8FA9" w:themeColor="accent4"/>
          <w:left w:val="single" w:sz="8" w:space="0" w:color="7F8FA9" w:themeColor="accent4"/>
          <w:bottom w:val="single" w:sz="8" w:space="0" w:color="7F8FA9" w:themeColor="accent4"/>
          <w:right w:val="single" w:sz="8" w:space="0" w:color="7F8FA9" w:themeColor="accent4"/>
          <w:insideH w:val="nil"/>
          <w:insideV w:val="single" w:sz="8" w:space="0" w:color="7F8FA9"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tcPr>
    </w:tblStylePr>
    <w:tblStylePr w:type="band1Vert">
      <w:tblPr/>
      <w:tcPr>
        <w:tcBorders>
          <w:top w:val="single" w:sz="8" w:space="0" w:color="7F8FA9" w:themeColor="accent4"/>
          <w:left w:val="single" w:sz="8" w:space="0" w:color="7F8FA9" w:themeColor="accent4"/>
          <w:bottom w:val="single" w:sz="8" w:space="0" w:color="7F8FA9" w:themeColor="accent4"/>
          <w:right w:val="single" w:sz="8" w:space="0" w:color="7F8FA9" w:themeColor="accent4"/>
        </w:tcBorders>
        <w:shd w:val="clear" w:color="auto" w:fill="DFE3E9" w:themeFill="accent4" w:themeFillTint="3F"/>
      </w:tcPr>
    </w:tblStylePr>
    <w:tblStylePr w:type="band1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insideV w:val="single" w:sz="8" w:space="0" w:color="7F8FA9" w:themeColor="accent4"/>
        </w:tcBorders>
        <w:shd w:val="clear" w:color="auto" w:fill="DFE3E9" w:themeFill="accent4" w:themeFillTint="3F"/>
      </w:tcPr>
    </w:tblStylePr>
    <w:tblStylePr w:type="band2Horz">
      <w:tblPr/>
      <w:tcPr>
        <w:tcBorders>
          <w:top w:val="single" w:sz="8" w:space="0" w:color="7F8FA9" w:themeColor="accent4"/>
          <w:left w:val="single" w:sz="8" w:space="0" w:color="7F8FA9" w:themeColor="accent4"/>
          <w:bottom w:val="single" w:sz="8" w:space="0" w:color="7F8FA9" w:themeColor="accent4"/>
          <w:right w:val="single" w:sz="8" w:space="0" w:color="7F8FA9" w:themeColor="accent4"/>
          <w:insideV w:val="single" w:sz="8" w:space="0" w:color="7F8FA9" w:themeColor="accent4"/>
        </w:tcBorders>
      </w:tcPr>
    </w:tblStylePr>
  </w:style>
  <w:style w:type="table" w:styleId="Sombreadoclaro-nfasis5">
    <w:name w:val="Light Shading Accent 5"/>
    <w:basedOn w:val="Tablanormal"/>
    <w:uiPriority w:val="60"/>
    <w:semiHidden/>
    <w:unhideWhenUsed/>
    <w:rsid w:val="004850C2"/>
    <w:rPr>
      <w:rFonts w:eastAsiaTheme="minorHAnsi"/>
      <w:color w:val="417A84" w:themeColor="accent5" w:themeShade="BF"/>
      <w:sz w:val="22"/>
      <w:szCs w:val="22"/>
      <w:lang w:val="es-MX" w:eastAsia="en-US"/>
    </w:rPr>
    <w:tblPr>
      <w:tblStyleRowBandSize w:val="1"/>
      <w:tblStyleColBandSize w:val="1"/>
      <w:tblInd w:w="0" w:type="nil"/>
      <w:tblBorders>
        <w:top w:val="single" w:sz="8" w:space="0" w:color="5AA2AE" w:themeColor="accent5"/>
        <w:bottom w:val="single" w:sz="8" w:space="0" w:color="5AA2AE" w:themeColor="accent5"/>
      </w:tblBorders>
    </w:tblPr>
    <w:tblStylePr w:type="firstRow">
      <w:pPr>
        <w:spacing w:beforeLines="0" w:before="0" w:beforeAutospacing="0" w:afterLines="0" w:after="0" w:afterAutospacing="0" w:line="240" w:lineRule="auto"/>
      </w:pPr>
      <w:rPr>
        <w:b/>
        <w:bCs/>
      </w:rPr>
      <w:tblPr/>
      <w:tcPr>
        <w:tcBorders>
          <w:top w:val="single" w:sz="8" w:space="0" w:color="5AA2AE" w:themeColor="accent5"/>
          <w:left w:val="nil"/>
          <w:bottom w:val="single" w:sz="8" w:space="0" w:color="5AA2AE" w:themeColor="accent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AA2AE" w:themeColor="accent5"/>
          <w:left w:val="nil"/>
          <w:bottom w:val="single" w:sz="8" w:space="0" w:color="5AA2A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left w:val="nil"/>
          <w:right w:val="nil"/>
          <w:insideH w:val="nil"/>
          <w:insideV w:val="nil"/>
        </w:tcBorders>
        <w:shd w:val="clear" w:color="auto" w:fill="D6E7EB" w:themeFill="accent5" w:themeFillTint="3F"/>
      </w:tcPr>
    </w:tblStylePr>
  </w:style>
  <w:style w:type="table" w:styleId="Listaclara-nfasis5">
    <w:name w:val="Light List Accent 5"/>
    <w:basedOn w:val="Tablanormal"/>
    <w:uiPriority w:val="61"/>
    <w:semiHidden/>
    <w:unhideWhenUsed/>
    <w:rsid w:val="004850C2"/>
    <w:rPr>
      <w:rFonts w:eastAsiaTheme="minorHAnsi"/>
      <w:sz w:val="22"/>
      <w:szCs w:val="22"/>
      <w:lang w:val="es-MX" w:eastAsia="en-US"/>
    </w:rPr>
    <w:tblPr>
      <w:tblStyleRowBandSize w:val="1"/>
      <w:tblStyleColBandSize w:val="1"/>
      <w:tblInd w:w="0" w:type="nil"/>
      <w:tblBorders>
        <w:top w:val="single" w:sz="8" w:space="0" w:color="5AA2AE" w:themeColor="accent5"/>
        <w:left w:val="single" w:sz="8" w:space="0" w:color="5AA2AE" w:themeColor="accent5"/>
        <w:bottom w:val="single" w:sz="8" w:space="0" w:color="5AA2AE" w:themeColor="accent5"/>
        <w:right w:val="single" w:sz="8" w:space="0" w:color="5AA2AE"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5AA2AE" w:themeFill="accent5"/>
      </w:tcPr>
    </w:tblStylePr>
    <w:tblStylePr w:type="lastRow">
      <w:pPr>
        <w:spacing w:beforeLines="0" w:before="0" w:beforeAutospacing="0" w:afterLines="0" w:after="0" w:afterAutospacing="0" w:line="240" w:lineRule="auto"/>
      </w:pPr>
      <w:rPr>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tcBorders>
      </w:tcPr>
    </w:tblStylePr>
    <w:tblStylePr w:type="firstCol">
      <w:rPr>
        <w:b/>
        <w:bCs/>
      </w:rPr>
    </w:tblStylePr>
    <w:tblStylePr w:type="lastCol">
      <w:rPr>
        <w:b/>
        <w:bCs/>
      </w:r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style>
  <w:style w:type="table" w:styleId="Cuadrculamedia1-nfasis5">
    <w:name w:val="Medium Grid 1 Accent 5"/>
    <w:basedOn w:val="Tablanormal"/>
    <w:uiPriority w:val="67"/>
    <w:semiHidden/>
    <w:unhideWhenUsed/>
    <w:rsid w:val="004850C2"/>
    <w:rPr>
      <w:rFonts w:eastAsiaTheme="minorHAnsi"/>
      <w:sz w:val="22"/>
      <w:szCs w:val="22"/>
      <w:lang w:val="es-MX" w:eastAsia="en-US"/>
    </w:rPr>
    <w:tblPr>
      <w:tblStyleRowBandSize w:val="1"/>
      <w:tblStyleColBandSize w:val="1"/>
      <w:tblInd w:w="0" w:type="nil"/>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Sombreadomedio1-nfasis6">
    <w:name w:val="Medium Shading 1 Accent 6"/>
    <w:basedOn w:val="Tablanormal"/>
    <w:uiPriority w:val="63"/>
    <w:semiHidden/>
    <w:unhideWhenUsed/>
    <w:rsid w:val="004850C2"/>
    <w:rPr>
      <w:rFonts w:eastAsiaTheme="minorHAnsi"/>
      <w:sz w:val="22"/>
      <w:szCs w:val="22"/>
      <w:lang w:val="es-MX" w:eastAsia="en-US"/>
    </w:rPr>
    <w:tblPr>
      <w:tblStyleRowBandSize w:val="1"/>
      <w:tblStyleColBandSize w:val="1"/>
      <w:tblInd w:w="0" w:type="nil"/>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shd w:val="clear" w:color="auto" w:fill="9D90A0" w:themeFill="accent6"/>
      </w:tcPr>
    </w:tblStylePr>
    <w:tblStylePr w:type="lastRow">
      <w:pPr>
        <w:spacing w:beforeLines="0" w:before="0" w:beforeAutospacing="0" w:afterLines="0" w:after="0" w:afterAutospacing="0" w:line="240" w:lineRule="auto"/>
      </w:pPr>
      <w:rPr>
        <w:b/>
        <w:bCs/>
      </w:rPr>
      <w:tblPr/>
      <w:tcPr>
        <w:tcBorders>
          <w:top w:val="double" w:sz="6"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3E7" w:themeFill="accent6" w:themeFillTint="3F"/>
      </w:tcPr>
    </w:tblStylePr>
    <w:tblStylePr w:type="band1Horz">
      <w:tblPr/>
      <w:tcPr>
        <w:tcBorders>
          <w:insideH w:val="nil"/>
          <w:insideV w:val="nil"/>
        </w:tcBorders>
        <w:shd w:val="clear" w:color="auto" w:fill="E6E3E7" w:themeFill="accent6"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4850C2"/>
    <w:rPr>
      <w:rFonts w:eastAsiaTheme="minorHAnsi"/>
      <w:sz w:val="22"/>
      <w:szCs w:val="22"/>
      <w:lang w:val="es-MX" w:eastAsia="en-US"/>
    </w:rPr>
    <w:tblPr>
      <w:tblStyleRowBandSize w:val="1"/>
      <w:tblStyleColBandSize w:val="1"/>
      <w:tblInd w:w="0" w:type="nil"/>
      <w:tbl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single" w:sz="8" w:space="0" w:color="748AC3"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shd w:val="clear" w:color="auto" w:fill="4A66AC" w:themeFill="accent1"/>
      </w:tcPr>
    </w:tblStylePr>
    <w:tblStylePr w:type="lastRow">
      <w:pPr>
        <w:spacing w:beforeLines="0" w:before="0" w:beforeAutospacing="0" w:afterLines="0" w:after="0" w:afterAutospacing="0" w:line="240" w:lineRule="auto"/>
      </w:pPr>
      <w:rPr>
        <w:b/>
        <w:bCs/>
      </w:rPr>
      <w:tblPr/>
      <w:tcPr>
        <w:tcBorders>
          <w:top w:val="double" w:sz="6" w:space="0" w:color="748AC3" w:themeColor="accent1" w:themeTint="BF"/>
          <w:left w:val="single" w:sz="8" w:space="0" w:color="748AC3" w:themeColor="accent1" w:themeTint="BF"/>
          <w:bottom w:val="single" w:sz="8" w:space="0" w:color="748AC3" w:themeColor="accent1" w:themeTint="BF"/>
          <w:right w:val="single" w:sz="8" w:space="0" w:color="748A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EB" w:themeFill="accent1" w:themeFillTint="3F"/>
      </w:tcPr>
    </w:tblStylePr>
    <w:tblStylePr w:type="band1Horz">
      <w:tblPr/>
      <w:tcPr>
        <w:shd w:val="clear" w:color="auto" w:fill="F2F2F2" w:themeFill="background1" w:themeFillShade="F2"/>
      </w:tcPr>
    </w:tblStylePr>
    <w:tblStylePr w:type="band2Horz">
      <w:tblPr/>
      <w:tcPr>
        <w:tcBorders>
          <w:insideH w:val="nil"/>
          <w:insideV w:val="nil"/>
        </w:tcBorders>
      </w:tcPr>
    </w:tblStylePr>
  </w:style>
  <w:style w:type="table" w:customStyle="1" w:styleId="Listaclara1">
    <w:name w:val="Lista clara1"/>
    <w:basedOn w:val="Tablanormal"/>
    <w:uiPriority w:val="61"/>
    <w:rsid w:val="004850C2"/>
    <w:rPr>
      <w:rFonts w:eastAsiaTheme="minorHAnsi"/>
      <w:sz w:val="22"/>
      <w:szCs w:val="22"/>
      <w:lang w:val="es-MX" w:eastAsia="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Normal">
    <w:name w:val="Table Normal"/>
    <w:rsid w:val="0064715E"/>
    <w:pPr>
      <w:spacing w:line="276" w:lineRule="auto"/>
    </w:pPr>
    <w:rPr>
      <w:rFonts w:ascii="Arial" w:eastAsia="Arial" w:hAnsi="Arial" w:cs="Arial"/>
      <w:sz w:val="22"/>
      <w:szCs w:val="22"/>
      <w:lang w:val="es-MX" w:eastAsia="es-MX"/>
    </w:rPr>
    <w:tblPr>
      <w:tblCellMar>
        <w:top w:w="0" w:type="dxa"/>
        <w:left w:w="0" w:type="dxa"/>
        <w:bottom w:w="0" w:type="dxa"/>
        <w:right w:w="0" w:type="dxa"/>
      </w:tblCellMar>
    </w:tblPr>
  </w:style>
  <w:style w:type="paragraph" w:styleId="Ttulo">
    <w:name w:val="Title"/>
    <w:basedOn w:val="Normal"/>
    <w:next w:val="Normal"/>
    <w:link w:val="TtuloCar"/>
    <w:rsid w:val="0064715E"/>
    <w:pPr>
      <w:keepNext/>
      <w:keepLines/>
      <w:spacing w:after="60" w:line="276" w:lineRule="auto"/>
    </w:pPr>
    <w:rPr>
      <w:rFonts w:ascii="Arial" w:eastAsia="Arial" w:hAnsi="Arial" w:cs="Arial"/>
      <w:sz w:val="52"/>
      <w:szCs w:val="52"/>
      <w:lang w:val="es-MX" w:eastAsia="es-MX"/>
    </w:rPr>
  </w:style>
  <w:style w:type="character" w:customStyle="1" w:styleId="TtuloCar">
    <w:name w:val="Título Car"/>
    <w:basedOn w:val="Fuentedeprrafopredeter"/>
    <w:link w:val="Ttulo"/>
    <w:rsid w:val="0064715E"/>
    <w:rPr>
      <w:rFonts w:ascii="Arial" w:eastAsia="Arial" w:hAnsi="Arial" w:cs="Arial"/>
      <w:sz w:val="52"/>
      <w:szCs w:val="52"/>
      <w:lang w:val="es-MX" w:eastAsia="es-MX"/>
    </w:rPr>
  </w:style>
  <w:style w:type="paragraph" w:styleId="Subttulo">
    <w:name w:val="Subtitle"/>
    <w:basedOn w:val="Normal"/>
    <w:next w:val="Normal"/>
    <w:link w:val="SubttuloCar"/>
    <w:rsid w:val="0064715E"/>
    <w:pPr>
      <w:keepNext/>
      <w:keepLines/>
      <w:spacing w:after="320" w:line="276" w:lineRule="auto"/>
    </w:pPr>
    <w:rPr>
      <w:rFonts w:ascii="Arial" w:eastAsia="Arial" w:hAnsi="Arial" w:cs="Arial"/>
      <w:color w:val="666666"/>
      <w:sz w:val="30"/>
      <w:szCs w:val="30"/>
      <w:lang w:val="es-MX" w:eastAsia="es-MX"/>
    </w:rPr>
  </w:style>
  <w:style w:type="character" w:customStyle="1" w:styleId="SubttuloCar">
    <w:name w:val="Subtítulo Car"/>
    <w:basedOn w:val="Fuentedeprrafopredeter"/>
    <w:link w:val="Subttulo"/>
    <w:rsid w:val="0064715E"/>
    <w:rPr>
      <w:rFonts w:ascii="Arial" w:eastAsia="Arial" w:hAnsi="Arial" w:cs="Arial"/>
      <w:color w:val="666666"/>
      <w:sz w:val="30"/>
      <w:szCs w:val="30"/>
      <w:lang w:val="es-MX" w:eastAsia="es-MX"/>
    </w:rPr>
  </w:style>
  <w:style w:type="character" w:styleId="nfasis">
    <w:name w:val="Emphasis"/>
    <w:basedOn w:val="Fuentedeprrafopredeter"/>
    <w:uiPriority w:val="20"/>
    <w:qFormat/>
    <w:rsid w:val="0064715E"/>
    <w:rPr>
      <w:i/>
      <w:iCs/>
    </w:rPr>
  </w:style>
  <w:style w:type="paragraph" w:customStyle="1" w:styleId="xl70">
    <w:name w:val="xl70"/>
    <w:basedOn w:val="Normal"/>
    <w:rsid w:val="006E1868"/>
    <w:pPr>
      <w:spacing w:before="100" w:beforeAutospacing="1" w:after="100" w:afterAutospacing="1"/>
    </w:pPr>
    <w:rPr>
      <w:rFonts w:ascii="Barlow" w:eastAsia="Times New Roman" w:hAnsi="Barlow" w:cs="Times New Roman"/>
      <w:lang w:val="es-MX" w:eastAsia="es-MX"/>
    </w:rPr>
  </w:style>
  <w:style w:type="paragraph" w:customStyle="1" w:styleId="xl71">
    <w:name w:val="xl71"/>
    <w:basedOn w:val="Normal"/>
    <w:rsid w:val="006E1868"/>
    <w:pPr>
      <w:shd w:val="clear" w:color="000000" w:fill="F2F2F2"/>
      <w:spacing w:before="100" w:beforeAutospacing="1" w:after="100" w:afterAutospacing="1"/>
    </w:pPr>
    <w:rPr>
      <w:rFonts w:ascii="Barlow Medium" w:eastAsia="Times New Roman" w:hAnsi="Barlow Medium" w:cs="Times New Roman"/>
      <w:lang w:val="es-MX" w:eastAsia="es-MX"/>
    </w:rPr>
  </w:style>
  <w:style w:type="paragraph" w:customStyle="1" w:styleId="xl72">
    <w:name w:val="xl72"/>
    <w:basedOn w:val="Normal"/>
    <w:rsid w:val="006E1868"/>
    <w:pPr>
      <w:pBdr>
        <w:top w:val="single" w:sz="4" w:space="0" w:color="000000"/>
        <w:left w:val="single" w:sz="4" w:space="0" w:color="000000"/>
      </w:pBdr>
      <w:shd w:val="clear" w:color="000000" w:fill="16365C"/>
      <w:spacing w:before="100" w:beforeAutospacing="1" w:after="100" w:afterAutospacing="1"/>
      <w:jc w:val="center"/>
      <w:textAlignment w:val="center"/>
    </w:pPr>
    <w:rPr>
      <w:rFonts w:ascii="Barlow Medium" w:eastAsia="Times New Roman" w:hAnsi="Barlow Medium" w:cs="Times New Roman"/>
      <w:b/>
      <w:bCs/>
      <w:color w:val="FFFFFF"/>
      <w:lang w:val="es-MX" w:eastAsia="es-MX"/>
    </w:rPr>
  </w:style>
  <w:style w:type="paragraph" w:customStyle="1" w:styleId="xl73">
    <w:name w:val="xl73"/>
    <w:basedOn w:val="Normal"/>
    <w:rsid w:val="006E1868"/>
    <w:pPr>
      <w:pBdr>
        <w:top w:val="single" w:sz="4" w:space="0" w:color="auto"/>
        <w:left w:val="single" w:sz="12" w:space="0" w:color="auto"/>
        <w:bottom w:val="single" w:sz="4" w:space="0" w:color="auto"/>
        <w:right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4">
    <w:name w:val="xl74"/>
    <w:basedOn w:val="Normal"/>
    <w:rsid w:val="006E186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5">
    <w:name w:val="xl75"/>
    <w:basedOn w:val="Normal"/>
    <w:rsid w:val="006E1868"/>
    <w:pPr>
      <w:pBdr>
        <w:top w:val="single" w:sz="4" w:space="0" w:color="auto"/>
        <w:left w:val="single" w:sz="4" w:space="0" w:color="auto"/>
        <w:bottom w:val="single" w:sz="4" w:space="0" w:color="auto"/>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6">
    <w:name w:val="xl76"/>
    <w:basedOn w:val="Normal"/>
    <w:rsid w:val="006E1868"/>
    <w:pPr>
      <w:pBdr>
        <w:top w:val="single" w:sz="4" w:space="0" w:color="auto"/>
        <w:left w:val="single" w:sz="4" w:space="0" w:color="auto"/>
        <w:bottom w:val="single" w:sz="4" w:space="0" w:color="auto"/>
        <w:right w:val="single" w:sz="4" w:space="0" w:color="000000"/>
      </w:pBdr>
      <w:shd w:val="clear" w:color="000000" w:fill="F2F2F2"/>
      <w:spacing w:before="100" w:beforeAutospacing="1" w:after="100" w:afterAutospacing="1"/>
    </w:pPr>
    <w:rPr>
      <w:rFonts w:ascii="Barlow" w:eastAsia="Times New Roman" w:hAnsi="Barlow" w:cs="Times New Roman"/>
      <w:lang w:val="es-MX" w:eastAsia="es-MX"/>
    </w:rPr>
  </w:style>
  <w:style w:type="paragraph" w:customStyle="1" w:styleId="xl77">
    <w:name w:val="xl77"/>
    <w:basedOn w:val="Normal"/>
    <w:rsid w:val="006E1868"/>
    <w:pPr>
      <w:pBdr>
        <w:top w:val="single" w:sz="4" w:space="0" w:color="auto"/>
        <w:left w:val="single" w:sz="4" w:space="0" w:color="auto"/>
        <w:bottom w:val="single" w:sz="4" w:space="0" w:color="auto"/>
        <w:right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8">
    <w:name w:val="xl78"/>
    <w:basedOn w:val="Normal"/>
    <w:rsid w:val="006E1868"/>
    <w:pPr>
      <w:pBdr>
        <w:top w:val="single" w:sz="4" w:space="0" w:color="auto"/>
        <w:left w:val="single" w:sz="4" w:space="0" w:color="auto"/>
        <w:bottom w:val="single" w:sz="4" w:space="0" w:color="auto"/>
      </w:pBdr>
      <w:spacing w:before="100" w:beforeAutospacing="1" w:after="100" w:afterAutospacing="1"/>
    </w:pPr>
    <w:rPr>
      <w:rFonts w:ascii="Barlow" w:eastAsia="Times New Roman" w:hAnsi="Barlow" w:cs="Times New Roman"/>
      <w:lang w:val="es-MX" w:eastAsia="es-MX"/>
    </w:rPr>
  </w:style>
  <w:style w:type="paragraph" w:customStyle="1" w:styleId="xl79">
    <w:name w:val="xl79"/>
    <w:basedOn w:val="Normal"/>
    <w:rsid w:val="006E1868"/>
    <w:pPr>
      <w:pBdr>
        <w:top w:val="single" w:sz="4" w:space="0" w:color="auto"/>
        <w:left w:val="single" w:sz="4" w:space="0" w:color="auto"/>
        <w:bottom w:val="single" w:sz="4" w:space="0" w:color="auto"/>
        <w:right w:val="single" w:sz="4" w:space="0" w:color="000000"/>
      </w:pBdr>
      <w:spacing w:before="100" w:beforeAutospacing="1" w:after="100" w:afterAutospacing="1"/>
    </w:pPr>
    <w:rPr>
      <w:rFonts w:ascii="Barlow" w:eastAsia="Times New Roman" w:hAnsi="Barlow" w:cs="Times New Roman"/>
      <w:lang w:val="es-MX" w:eastAsia="es-MX"/>
    </w:rPr>
  </w:style>
  <w:style w:type="paragraph" w:customStyle="1" w:styleId="xl80">
    <w:name w:val="xl80"/>
    <w:basedOn w:val="Normal"/>
    <w:rsid w:val="006E1868"/>
    <w:pPr>
      <w:spacing w:before="100" w:beforeAutospacing="1" w:after="100" w:afterAutospacing="1"/>
      <w:textAlignment w:val="center"/>
    </w:pPr>
    <w:rPr>
      <w:rFonts w:ascii="Barlow" w:eastAsia="Times New Roman" w:hAnsi="Barlow" w:cs="Times New Roman"/>
      <w:b/>
      <w:bCs/>
      <w:sz w:val="28"/>
      <w:szCs w:val="28"/>
      <w:lang w:val="es-MX" w:eastAsia="es-MX"/>
    </w:rPr>
  </w:style>
  <w:style w:type="paragraph" w:customStyle="1" w:styleId="xl81">
    <w:name w:val="xl81"/>
    <w:basedOn w:val="Normal"/>
    <w:rsid w:val="006E1868"/>
    <w:pPr>
      <w:pBdr>
        <w:top w:val="single" w:sz="4" w:space="0" w:color="366092"/>
        <w:bottom w:val="single" w:sz="8" w:space="0" w:color="366092"/>
      </w:pBdr>
      <w:spacing w:before="100" w:beforeAutospacing="1" w:after="100" w:afterAutospacing="1"/>
    </w:pPr>
    <w:rPr>
      <w:rFonts w:ascii="Barlow" w:eastAsia="Times New Roman" w:hAnsi="Barlow" w:cs="Times New Roman"/>
      <w:b/>
      <w:bCs/>
      <w:lang w:val="es-MX" w:eastAsia="es-MX"/>
    </w:rPr>
  </w:style>
  <w:style w:type="paragraph" w:customStyle="1" w:styleId="xl82">
    <w:name w:val="xl82"/>
    <w:basedOn w:val="Normal"/>
    <w:rsid w:val="006E1868"/>
    <w:pPr>
      <w:pBdr>
        <w:top w:val="single" w:sz="4" w:space="0" w:color="366092"/>
        <w:bottom w:val="single" w:sz="8" w:space="0" w:color="366092"/>
      </w:pBdr>
      <w:spacing w:before="100" w:beforeAutospacing="1" w:after="100" w:afterAutospacing="1"/>
    </w:pPr>
    <w:rPr>
      <w:rFonts w:ascii="Barlow" w:eastAsia="Times New Roman" w:hAnsi="Barlow" w:cs="Times New Roman"/>
      <w:b/>
      <w:bCs/>
      <w:lang w:val="es-MX" w:eastAsia="es-MX"/>
    </w:rPr>
  </w:style>
</w:styles>
</file>

<file path=word/webSettings.xml><?xml version="1.0" encoding="utf-8"?>
<w:webSettings xmlns:r="http://schemas.openxmlformats.org/officeDocument/2006/relationships" xmlns:w="http://schemas.openxmlformats.org/wordprocessingml/2006/main">
  <w:divs>
    <w:div w:id="347876042">
      <w:bodyDiv w:val="1"/>
      <w:marLeft w:val="0"/>
      <w:marRight w:val="0"/>
      <w:marTop w:val="0"/>
      <w:marBottom w:val="0"/>
      <w:divBdr>
        <w:top w:val="none" w:sz="0" w:space="0" w:color="auto"/>
        <w:left w:val="none" w:sz="0" w:space="0" w:color="auto"/>
        <w:bottom w:val="none" w:sz="0" w:space="0" w:color="auto"/>
        <w:right w:val="none" w:sz="0" w:space="0" w:color="auto"/>
      </w:divBdr>
    </w:div>
    <w:div w:id="405030325">
      <w:bodyDiv w:val="1"/>
      <w:marLeft w:val="0"/>
      <w:marRight w:val="0"/>
      <w:marTop w:val="0"/>
      <w:marBottom w:val="0"/>
      <w:divBdr>
        <w:top w:val="none" w:sz="0" w:space="0" w:color="auto"/>
        <w:left w:val="none" w:sz="0" w:space="0" w:color="auto"/>
        <w:bottom w:val="none" w:sz="0" w:space="0" w:color="auto"/>
        <w:right w:val="none" w:sz="0" w:space="0" w:color="auto"/>
      </w:divBdr>
    </w:div>
    <w:div w:id="532307618">
      <w:bodyDiv w:val="1"/>
      <w:marLeft w:val="0"/>
      <w:marRight w:val="0"/>
      <w:marTop w:val="0"/>
      <w:marBottom w:val="0"/>
      <w:divBdr>
        <w:top w:val="none" w:sz="0" w:space="0" w:color="auto"/>
        <w:left w:val="none" w:sz="0" w:space="0" w:color="auto"/>
        <w:bottom w:val="none" w:sz="0" w:space="0" w:color="auto"/>
        <w:right w:val="none" w:sz="0" w:space="0" w:color="auto"/>
      </w:divBdr>
    </w:div>
    <w:div w:id="751511698">
      <w:bodyDiv w:val="1"/>
      <w:marLeft w:val="0"/>
      <w:marRight w:val="0"/>
      <w:marTop w:val="0"/>
      <w:marBottom w:val="0"/>
      <w:divBdr>
        <w:top w:val="none" w:sz="0" w:space="0" w:color="auto"/>
        <w:left w:val="none" w:sz="0" w:space="0" w:color="auto"/>
        <w:bottom w:val="none" w:sz="0" w:space="0" w:color="auto"/>
        <w:right w:val="none" w:sz="0" w:space="0" w:color="auto"/>
      </w:divBdr>
    </w:div>
    <w:div w:id="800998983">
      <w:bodyDiv w:val="1"/>
      <w:marLeft w:val="0"/>
      <w:marRight w:val="0"/>
      <w:marTop w:val="0"/>
      <w:marBottom w:val="0"/>
      <w:divBdr>
        <w:top w:val="none" w:sz="0" w:space="0" w:color="auto"/>
        <w:left w:val="none" w:sz="0" w:space="0" w:color="auto"/>
        <w:bottom w:val="none" w:sz="0" w:space="0" w:color="auto"/>
        <w:right w:val="none" w:sz="0" w:space="0" w:color="auto"/>
      </w:divBdr>
    </w:div>
    <w:div w:id="1178429322">
      <w:bodyDiv w:val="1"/>
      <w:marLeft w:val="0"/>
      <w:marRight w:val="0"/>
      <w:marTop w:val="0"/>
      <w:marBottom w:val="0"/>
      <w:divBdr>
        <w:top w:val="none" w:sz="0" w:space="0" w:color="auto"/>
        <w:left w:val="none" w:sz="0" w:space="0" w:color="auto"/>
        <w:bottom w:val="none" w:sz="0" w:space="0" w:color="auto"/>
        <w:right w:val="none" w:sz="0" w:space="0" w:color="auto"/>
      </w:divBdr>
    </w:div>
    <w:div w:id="1307397384">
      <w:bodyDiv w:val="1"/>
      <w:marLeft w:val="0"/>
      <w:marRight w:val="0"/>
      <w:marTop w:val="0"/>
      <w:marBottom w:val="0"/>
      <w:divBdr>
        <w:top w:val="none" w:sz="0" w:space="0" w:color="auto"/>
        <w:left w:val="none" w:sz="0" w:space="0" w:color="auto"/>
        <w:bottom w:val="none" w:sz="0" w:space="0" w:color="auto"/>
        <w:right w:val="none" w:sz="0" w:space="0" w:color="auto"/>
      </w:divBdr>
    </w:div>
    <w:div w:id="1570505892">
      <w:bodyDiv w:val="1"/>
      <w:marLeft w:val="0"/>
      <w:marRight w:val="0"/>
      <w:marTop w:val="0"/>
      <w:marBottom w:val="0"/>
      <w:divBdr>
        <w:top w:val="none" w:sz="0" w:space="0" w:color="auto"/>
        <w:left w:val="none" w:sz="0" w:space="0" w:color="auto"/>
        <w:bottom w:val="none" w:sz="0" w:space="0" w:color="auto"/>
        <w:right w:val="none" w:sz="0" w:space="0" w:color="auto"/>
      </w:divBdr>
    </w:div>
    <w:div w:id="1753161057">
      <w:bodyDiv w:val="1"/>
      <w:marLeft w:val="0"/>
      <w:marRight w:val="0"/>
      <w:marTop w:val="0"/>
      <w:marBottom w:val="0"/>
      <w:divBdr>
        <w:top w:val="none" w:sz="0" w:space="0" w:color="auto"/>
        <w:left w:val="none" w:sz="0" w:space="0" w:color="auto"/>
        <w:bottom w:val="none" w:sz="0" w:space="0" w:color="auto"/>
        <w:right w:val="none" w:sz="0" w:space="0" w:color="auto"/>
      </w:divBdr>
    </w:div>
    <w:div w:id="18011449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chart" Target="charts/chart2.xml"/><Relationship Id="rId26" Type="http://schemas.openxmlformats.org/officeDocument/2006/relationships/image" Target="media/image5.png"/><Relationship Id="rId3" Type="http://schemas.openxmlformats.org/officeDocument/2006/relationships/styles" Target="styles.xml"/><Relationship Id="rId21" Type="http://schemas.openxmlformats.org/officeDocument/2006/relationships/chart" Target="charts/chart5.xml"/><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chart" Target="charts/chart1.xml"/><Relationship Id="rId25" Type="http://schemas.openxmlformats.org/officeDocument/2006/relationships/image" Target="media/image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chart" Target="charts/chart4.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chart" Target="charts/chart7.xml"/><Relationship Id="rId28"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chart" Target="charts/chart3.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chart" Target="charts/chart6.xml"/><Relationship Id="rId27" Type="http://schemas.openxmlformats.org/officeDocument/2006/relationships/image" Target="media/image6.emf"/><Relationship Id="rId30" Type="http://schemas.openxmlformats.org/officeDocument/2006/relationships/package" Target="embeddings/Hoja_de_c_lculo_de_Microsoft_Office_Excel1.xlsx"/></Relationships>
</file>

<file path=word/_rels/footnotes.xml.rels><?xml version="1.0" encoding="UTF-8" standalone="yes"?>
<Relationships xmlns="http://schemas.openxmlformats.org/package/2006/relationships"><Relationship Id="rId3" Type="http://schemas.openxmlformats.org/officeDocument/2006/relationships/hyperlink" Target="http://www.mx.undp.org/content/mexico/es/home/post-2015/sdg-overview.html" TargetMode="External"/><Relationship Id="rId2" Type="http://schemas.openxmlformats.org/officeDocument/2006/relationships/hyperlink" Target="https://www.unicef.org/mexico/spanish/mx_inversion_actualizada(1).pdf" TargetMode="External"/><Relationship Id="rId1" Type="http://schemas.openxmlformats.org/officeDocument/2006/relationships/hyperlink" Target="http://www.injuve.es/sites/default/files/ConvencionIberoamericana2005.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gabrielc.herrera\Documents\2012-2018\2018\Presupuesto%202019\Anexos\Textos%202019\Textos%202019\A1%202019_base-Anexo%208a-Inversi&#243;n%20Infancia%20Tempran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abrielc.herrera\Documents\2012-2018\2018\Presupuesto%202019\Anexos\Textos%202019\Textos%202019\A1%202019_base-Anexo%208a-Inversi&#243;n%20Infancia%20Tempran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abrielc.herrera\Documents\2012-2018\2018\Presupuesto%202019\Anexos\Textos%202019\Textos%202019\A1%202019_base-Anexo%208b-Inversi&#243;n%20Infanci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abrielc.herrera\Documents\2012-2018\2018\Presupuesto%202019\Anexos\Textos%202019\Textos%202019\A1%202019_base-Anexo%208b-Inversi&#243;n%20Infancia.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luis.lopezg\Desktop\Graficos%20anexo%20juventud%20versi&#243;n%20final.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nelsy.marrufo\Documents\Gobierno%202019-2024\2019\Anteproyecto%202019\Anexos\Anexo%20Juventud\Graficos%20anexo%20juventud%20versi&#243;n%20final.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nelsy.marrufo\Documents\Gobierno%202019-2024\2019\Anteproyecto%202019\Anexos\Anexo%20Juventud\Graficos%20anexo%20juventud%20versi&#243;n%20final.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pivotSource>
    <c:name>[A1 2019_base-Anexo 8a-Inversión Infancia Temprana.xlsx]Tablas!Tabla dinámica2</c:name>
    <c:fmtId val="-1"/>
  </c:pivotSource>
  <c:chart>
    <c:autoTitleDeleted val="1"/>
    <c:pivotFmts>
      <c:pivotFmt>
        <c:idx val="0"/>
        <c:marker>
          <c:symbol val="none"/>
        </c:marker>
      </c:pivotFmt>
      <c:pivotFmt>
        <c:idx val="1"/>
        <c:marker>
          <c:symbol val="none"/>
        </c:marker>
      </c:pivotFmt>
      <c:pivotFmt>
        <c:idx val="2"/>
        <c:spPr>
          <a:solidFill>
            <a:schemeClr val="tx2"/>
          </a:solidFill>
        </c:spPr>
        <c:marker>
          <c:symbol val="none"/>
        </c:marker>
        <c:dLbl>
          <c:idx val="0"/>
          <c:showVal val="1"/>
          <c:extLst xmlns:c16r2="http://schemas.microsoft.com/office/drawing/2015/06/chart">
            <c:ext xmlns:c15="http://schemas.microsoft.com/office/drawing/2012/chart" uri="{CE6537A1-D6FC-4f65-9D91-7224C49458BB}"/>
          </c:extLst>
        </c:dLbl>
      </c:pivotFmt>
      <c:pivotFmt>
        <c:idx val="3"/>
        <c:spPr>
          <a:solidFill>
            <a:schemeClr val="tx2"/>
          </a:solidFill>
        </c:spPr>
        <c:marker>
          <c:symbol val="none"/>
        </c:marker>
        <c:dLbl>
          <c:idx val="0"/>
          <c:spPr/>
          <c:txPr>
            <a:bodyPr/>
            <a:lstStyle/>
            <a:p>
              <a:pPr>
                <a:defRPr/>
              </a:pPr>
              <a:endParaRPr lang="es-MX"/>
            </a:p>
          </c:txPr>
          <c:showVal val="1"/>
          <c:extLst xmlns:c16r2="http://schemas.microsoft.com/office/drawing/2015/06/chart">
            <c:ext xmlns:c15="http://schemas.microsoft.com/office/drawing/2012/chart" uri="{CE6537A1-D6FC-4f65-9D91-7224C49458BB}"/>
          </c:extLst>
        </c:dLbl>
      </c:pivotFmt>
      <c:pivotFmt>
        <c:idx val="4"/>
        <c:spPr>
          <a:solidFill>
            <a:schemeClr val="tx2"/>
          </a:solidFill>
        </c:spPr>
        <c:marker>
          <c:symbol val="none"/>
        </c:marker>
        <c:dLbl>
          <c:idx val="0"/>
          <c:spPr/>
          <c:txPr>
            <a:bodyPr/>
            <a:lstStyle/>
            <a:p>
              <a:pPr>
                <a:defRPr/>
              </a:pPr>
              <a:endParaRPr lang="es-MX"/>
            </a:p>
          </c:txPr>
          <c:showVal val="1"/>
          <c:extLst xmlns:c16r2="http://schemas.microsoft.com/office/drawing/2015/06/chart">
            <c:ext xmlns:c15="http://schemas.microsoft.com/office/drawing/2012/chart" uri="{CE6537A1-D6FC-4f65-9D91-7224C49458BB}"/>
          </c:extLst>
        </c:dLbl>
      </c:pivotFmt>
    </c:pivotFmts>
    <c:plotArea>
      <c:layout/>
      <c:barChart>
        <c:barDir val="col"/>
        <c:grouping val="clustered"/>
        <c:ser>
          <c:idx val="0"/>
          <c:order val="0"/>
          <c:tx>
            <c:strRef>
              <c:f>Tablas!$F$3</c:f>
              <c:strCache>
                <c:ptCount val="1"/>
                <c:pt idx="0">
                  <c:v>Total</c:v>
                </c:pt>
              </c:strCache>
            </c:strRef>
          </c:tx>
          <c:spPr>
            <a:solidFill>
              <a:schemeClr val="tx2"/>
            </a:solidFill>
          </c:spPr>
          <c:dLbls>
            <c:spPr>
              <a:noFill/>
              <a:ln>
                <a:noFill/>
              </a:ln>
              <a:effectLst/>
            </c:spPr>
            <c:txPr>
              <a:bodyPr/>
              <a:lstStyle/>
              <a:p>
                <a:pPr>
                  <a:defRPr sz="900">
                    <a:latin typeface="Barlow Medium" panose="00000600000000000000" pitchFamily="2" charset="0"/>
                  </a:defRPr>
                </a:pPr>
                <a:endParaRPr lang="es-MX"/>
              </a:p>
            </c:txPr>
            <c:showVal val="1"/>
            <c:extLst xmlns:c16r2="http://schemas.microsoft.com/office/drawing/2015/06/chart">
              <c:ext xmlns:c15="http://schemas.microsoft.com/office/drawing/2012/chart" uri="{CE6537A1-D6FC-4f65-9D91-7224C49458BB}">
                <c15:showLeaderLines val="0"/>
              </c:ext>
            </c:extLst>
          </c:dLbls>
          <c:cat>
            <c:strRef>
              <c:f>Tablas!$E$4:$E$7</c:f>
              <c:strCache>
                <c:ptCount val="3"/>
                <c:pt idx="0">
                  <c:v>1 - Derecho a la Supervivencia</c:v>
                </c:pt>
                <c:pt idx="1">
                  <c:v>2 - Derecho al Desarrollo</c:v>
                </c:pt>
                <c:pt idx="2">
                  <c:v>3 - Derecho a la Protección</c:v>
                </c:pt>
              </c:strCache>
            </c:strRef>
          </c:cat>
          <c:val>
            <c:numRef>
              <c:f>Tablas!$F$4:$F$7</c:f>
              <c:numCache>
                <c:formatCode>_-* #,##0_-;\-* #,##0_-;_-* "-"??_-;_-@_-</c:formatCode>
                <c:ptCount val="3"/>
                <c:pt idx="0">
                  <c:v>979465006</c:v>
                </c:pt>
                <c:pt idx="1">
                  <c:v>2255664051</c:v>
                </c:pt>
                <c:pt idx="2">
                  <c:v>64116306</c:v>
                </c:pt>
              </c:numCache>
            </c:numRef>
          </c:val>
          <c:extLst xmlns:c16r2="http://schemas.microsoft.com/office/drawing/2015/06/chart">
            <c:ext xmlns:c16="http://schemas.microsoft.com/office/drawing/2014/chart" uri="{C3380CC4-5D6E-409C-BE32-E72D297353CC}">
              <c16:uniqueId val="{00000000-EC1D-9646-B162-BA8C504D0EAE}"/>
            </c:ext>
          </c:extLst>
        </c:ser>
        <c:dLbls>
          <c:showVal val="1"/>
        </c:dLbls>
        <c:overlap val="-25"/>
        <c:axId val="104170240"/>
        <c:axId val="104171776"/>
      </c:barChart>
      <c:catAx>
        <c:axId val="104170240"/>
        <c:scaling>
          <c:orientation val="minMax"/>
        </c:scaling>
        <c:axPos val="b"/>
        <c:numFmt formatCode="General" sourceLinked="0"/>
        <c:majorTickMark val="none"/>
        <c:tickLblPos val="nextTo"/>
        <c:txPr>
          <a:bodyPr/>
          <a:lstStyle/>
          <a:p>
            <a:pPr>
              <a:defRPr sz="1000">
                <a:latin typeface="Barlow Medium" panose="00000600000000000000" pitchFamily="2" charset="0"/>
              </a:defRPr>
            </a:pPr>
            <a:endParaRPr lang="es-MX"/>
          </a:p>
        </c:txPr>
        <c:crossAx val="104171776"/>
        <c:crosses val="autoZero"/>
        <c:auto val="1"/>
        <c:lblAlgn val="ctr"/>
        <c:lblOffset val="100"/>
      </c:catAx>
      <c:valAx>
        <c:axId val="104171776"/>
        <c:scaling>
          <c:orientation val="minMax"/>
        </c:scaling>
        <c:delete val="1"/>
        <c:axPos val="l"/>
        <c:numFmt formatCode="_-* #,##0_-;\-* #,##0_-;_-* &quot;-&quot;??_-;_-@_-" sourceLinked="1"/>
        <c:tickLblPos val="none"/>
        <c:crossAx val="104170240"/>
        <c:crosses val="autoZero"/>
        <c:crossBetween val="between"/>
      </c:valAx>
    </c:plotArea>
    <c:plotVisOnly val="1"/>
    <c:dispBlanksAs val="gap"/>
  </c:chart>
  <c:txPr>
    <a:bodyPr/>
    <a:lstStyle/>
    <a:p>
      <a:pPr>
        <a:defRPr>
          <a:latin typeface="Panton" pitchFamily="50" charset="0"/>
        </a:defRPr>
      </a:pPr>
      <a:endParaRPr lang="es-MX"/>
    </a:p>
  </c:txPr>
  <c:externalData r:id="rId1"/>
  <c:extLst xmlns:c16r2="http://schemas.microsoft.com/office/drawing/2015/06/chart">
    <c:ext xmlns:c14="http://schemas.microsoft.com/office/drawing/2007/8/2/chart" uri="{781A3756-C4B2-4CAC-9D66-4F8BD8637D16}">
      <c14:pivotOptions>
        <c14:dropZoneFilter val="1"/>
        <c14:dropZoneData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lang val="es-MX"/>
  <c:pivotSource>
    <c:name>[A1 2019_base-Anexo 8a-Inversión Infancia Temprana.xlsx]Tablas!Tabla dinámica3</c:name>
    <c:fmtId val="-1"/>
  </c:pivotSource>
  <c:chart>
    <c:autoTitleDeleted val="1"/>
    <c:pivotFmts>
      <c:pivotFmt>
        <c:idx val="0"/>
        <c:marker>
          <c:symbol val="none"/>
        </c:marker>
      </c:pivotFmt>
      <c:pivotFmt>
        <c:idx val="1"/>
        <c:marker>
          <c:symbol val="none"/>
        </c:marker>
      </c:pivotFmt>
      <c:pivotFmt>
        <c:idx val="2"/>
        <c:spPr>
          <a:solidFill>
            <a:schemeClr val="tx2"/>
          </a:solidFill>
          <a:ln>
            <a:noFill/>
          </a:ln>
        </c:spPr>
        <c:marker>
          <c:symbol val="none"/>
        </c:marker>
        <c:dLbl>
          <c:idx val="0"/>
          <c:spPr/>
          <c:txPr>
            <a:bodyPr/>
            <a:lstStyle/>
            <a:p>
              <a:pPr>
                <a:defRPr sz="1050"/>
              </a:pPr>
              <a:endParaRPr lang="es-MX"/>
            </a:p>
          </c:txPr>
          <c:showVal val="1"/>
          <c:extLst xmlns:c16r2="http://schemas.microsoft.com/office/drawing/2015/06/chart">
            <c:ext xmlns:c15="http://schemas.microsoft.com/office/drawing/2012/chart" uri="{CE6537A1-D6FC-4f65-9D91-7224C49458BB}"/>
          </c:extLst>
        </c:dLbl>
      </c:pivotFmt>
      <c:pivotFmt>
        <c:idx val="3"/>
        <c:spPr>
          <a:solidFill>
            <a:schemeClr val="tx2"/>
          </a:solidFill>
          <a:ln>
            <a:noFill/>
          </a:ln>
        </c:spPr>
        <c:marker>
          <c:symbol val="none"/>
        </c:marker>
        <c:dLbl>
          <c:idx val="0"/>
          <c:spPr/>
          <c:txPr>
            <a:bodyPr/>
            <a:lstStyle/>
            <a:p>
              <a:pPr>
                <a:defRPr sz="1050"/>
              </a:pPr>
              <a:endParaRPr lang="es-MX"/>
            </a:p>
          </c:txPr>
          <c:showVal val="1"/>
          <c:extLst xmlns:c16r2="http://schemas.microsoft.com/office/drawing/2015/06/chart">
            <c:ext xmlns:c15="http://schemas.microsoft.com/office/drawing/2012/chart" uri="{CE6537A1-D6FC-4f65-9D91-7224C49458BB}"/>
          </c:extLst>
        </c:dLbl>
      </c:pivotFmt>
      <c:pivotFmt>
        <c:idx val="4"/>
        <c:spPr>
          <a:solidFill>
            <a:schemeClr val="tx2"/>
          </a:solidFill>
          <a:ln>
            <a:noFill/>
          </a:ln>
        </c:spPr>
        <c:marker>
          <c:symbol val="none"/>
        </c:marker>
        <c:dLbl>
          <c:idx val="0"/>
          <c:spPr/>
          <c:txPr>
            <a:bodyPr/>
            <a:lstStyle/>
            <a:p>
              <a:pPr>
                <a:defRPr sz="1050"/>
              </a:pPr>
              <a:endParaRPr lang="es-MX"/>
            </a:p>
          </c:txPr>
          <c:showVal val="1"/>
          <c:extLst xmlns:c16r2="http://schemas.microsoft.com/office/drawing/2015/06/chart">
            <c:ext xmlns:c15="http://schemas.microsoft.com/office/drawing/2012/chart" uri="{CE6537A1-D6FC-4f65-9D91-7224C49458BB}"/>
          </c:extLst>
        </c:dLbl>
      </c:pivotFmt>
      <c:pivotFmt>
        <c:idx val="5"/>
        <c:spPr>
          <a:solidFill>
            <a:schemeClr val="tx2"/>
          </a:solidFill>
          <a:ln>
            <a:noFill/>
          </a:ln>
        </c:spPr>
        <c:marker>
          <c:symbol val="none"/>
        </c:marker>
        <c:dLbl>
          <c:idx val="0"/>
          <c:spPr/>
          <c:txPr>
            <a:bodyPr/>
            <a:lstStyle/>
            <a:p>
              <a:pPr>
                <a:defRPr sz="800"/>
              </a:pPr>
              <a:endParaRPr lang="es-MX"/>
            </a:p>
          </c:txPr>
          <c:showVal val="1"/>
          <c:extLst xmlns:c16r2="http://schemas.microsoft.com/office/drawing/2015/06/chart">
            <c:ext xmlns:c15="http://schemas.microsoft.com/office/drawing/2012/chart" uri="{CE6537A1-D6FC-4f65-9D91-7224C49458BB}"/>
          </c:extLst>
        </c:dLbl>
      </c:pivotFmt>
      <c:pivotFmt>
        <c:idx val="6"/>
        <c:spPr>
          <a:solidFill>
            <a:schemeClr val="tx2"/>
          </a:solidFill>
          <a:ln>
            <a:noFill/>
          </a:ln>
        </c:spPr>
        <c:marker>
          <c:symbol val="none"/>
        </c:marker>
        <c:dLbl>
          <c:idx val="0"/>
          <c:spPr/>
          <c:txPr>
            <a:bodyPr/>
            <a:lstStyle/>
            <a:p>
              <a:pPr>
                <a:defRPr sz="800"/>
              </a:pPr>
              <a:endParaRPr lang="es-MX"/>
            </a:p>
          </c:txPr>
          <c:showVal val="1"/>
          <c:extLst xmlns:c16r2="http://schemas.microsoft.com/office/drawing/2015/06/chart">
            <c:ext xmlns:c15="http://schemas.microsoft.com/office/drawing/2012/chart" uri="{CE6537A1-D6FC-4f65-9D91-7224C49458BB}"/>
          </c:extLst>
        </c:dLbl>
      </c:pivotFmt>
      <c:pivotFmt>
        <c:idx val="7"/>
        <c:spPr>
          <a:solidFill>
            <a:schemeClr val="tx2"/>
          </a:solidFill>
          <a:ln>
            <a:noFill/>
          </a:ln>
        </c:spPr>
        <c:marker>
          <c:symbol val="none"/>
        </c:marker>
        <c:dLbl>
          <c:idx val="0"/>
          <c:spPr/>
          <c:txPr>
            <a:bodyPr/>
            <a:lstStyle/>
            <a:p>
              <a:pPr>
                <a:defRPr sz="800"/>
              </a:pPr>
              <a:endParaRPr lang="es-MX"/>
            </a:p>
          </c:txPr>
          <c:showVal val="1"/>
          <c:extLst xmlns:c16r2="http://schemas.microsoft.com/office/drawing/2015/06/chart">
            <c:ext xmlns:c15="http://schemas.microsoft.com/office/drawing/2012/chart" uri="{CE6537A1-D6FC-4f65-9D91-7224C49458BB}"/>
          </c:extLst>
        </c:dLbl>
      </c:pivotFmt>
    </c:pivotFmts>
    <c:plotArea>
      <c:layout/>
      <c:barChart>
        <c:barDir val="col"/>
        <c:grouping val="clustered"/>
        <c:ser>
          <c:idx val="0"/>
          <c:order val="0"/>
          <c:tx>
            <c:strRef>
              <c:f>Tablas!$I$3</c:f>
              <c:strCache>
                <c:ptCount val="1"/>
                <c:pt idx="0">
                  <c:v>Total</c:v>
                </c:pt>
              </c:strCache>
            </c:strRef>
          </c:tx>
          <c:spPr>
            <a:solidFill>
              <a:schemeClr val="tx2"/>
            </a:solidFill>
            <a:ln>
              <a:noFill/>
            </a:ln>
          </c:spPr>
          <c:dLbls>
            <c:spPr>
              <a:noFill/>
              <a:ln>
                <a:noFill/>
              </a:ln>
              <a:effectLst/>
            </c:spPr>
            <c:txPr>
              <a:bodyPr/>
              <a:lstStyle/>
              <a:p>
                <a:pPr>
                  <a:defRPr sz="900">
                    <a:latin typeface="Barlow Medium" panose="00000600000000000000" pitchFamily="2" charset="0"/>
                  </a:defRPr>
                </a:pPr>
                <a:endParaRPr lang="es-MX"/>
              </a:p>
            </c:txPr>
            <c:showVal val="1"/>
            <c:extLst xmlns:c16r2="http://schemas.microsoft.com/office/drawing/2015/06/chart">
              <c:ext xmlns:c15="http://schemas.microsoft.com/office/drawing/2012/chart" uri="{CE6537A1-D6FC-4f65-9D91-7224C49458BB}">
                <c15:showLeaderLines val="0"/>
              </c:ext>
            </c:extLst>
          </c:dLbls>
          <c:cat>
            <c:strRef>
              <c:f>Tablas!$H$4:$H$8</c:f>
              <c:strCache>
                <c:ptCount val="4"/>
                <c:pt idx="0">
                  <c:v>1 - Específico</c:v>
                </c:pt>
                <c:pt idx="1">
                  <c:v>2 - Agéntico (indirecto)</c:v>
                </c:pt>
                <c:pt idx="2">
                  <c:v>3 - Ampliado</c:v>
                </c:pt>
                <c:pt idx="3">
                  <c:v>4 - En Bienes Públicos</c:v>
                </c:pt>
              </c:strCache>
            </c:strRef>
          </c:cat>
          <c:val>
            <c:numRef>
              <c:f>Tablas!$I$4:$I$8</c:f>
              <c:numCache>
                <c:formatCode>_-* #,##0_-;\-* #,##0_-;_-* "-"??_-;_-@_-</c:formatCode>
                <c:ptCount val="4"/>
                <c:pt idx="0">
                  <c:v>57633291</c:v>
                </c:pt>
                <c:pt idx="1">
                  <c:v>2647721271</c:v>
                </c:pt>
                <c:pt idx="2">
                  <c:v>523274506</c:v>
                </c:pt>
                <c:pt idx="3">
                  <c:v>70616295</c:v>
                </c:pt>
              </c:numCache>
            </c:numRef>
          </c:val>
          <c:extLst xmlns:c16r2="http://schemas.microsoft.com/office/drawing/2015/06/chart">
            <c:ext xmlns:c16="http://schemas.microsoft.com/office/drawing/2014/chart" uri="{C3380CC4-5D6E-409C-BE32-E72D297353CC}">
              <c16:uniqueId val="{00000000-212C-7E4F-9A37-3F01E558A174}"/>
            </c:ext>
          </c:extLst>
        </c:ser>
        <c:dLbls>
          <c:showVal val="1"/>
        </c:dLbls>
        <c:overlap val="-25"/>
        <c:axId val="104188544"/>
        <c:axId val="104190336"/>
      </c:barChart>
      <c:catAx>
        <c:axId val="104188544"/>
        <c:scaling>
          <c:orientation val="minMax"/>
        </c:scaling>
        <c:axPos val="b"/>
        <c:numFmt formatCode="General" sourceLinked="0"/>
        <c:majorTickMark val="none"/>
        <c:tickLblPos val="nextTo"/>
        <c:txPr>
          <a:bodyPr/>
          <a:lstStyle/>
          <a:p>
            <a:pPr>
              <a:defRPr sz="1000">
                <a:latin typeface="Barlow Medium" panose="00000600000000000000" pitchFamily="2" charset="0"/>
              </a:defRPr>
            </a:pPr>
            <a:endParaRPr lang="es-MX"/>
          </a:p>
        </c:txPr>
        <c:crossAx val="104190336"/>
        <c:crosses val="autoZero"/>
        <c:auto val="1"/>
        <c:lblAlgn val="ctr"/>
        <c:lblOffset val="100"/>
      </c:catAx>
      <c:valAx>
        <c:axId val="104190336"/>
        <c:scaling>
          <c:orientation val="minMax"/>
        </c:scaling>
        <c:delete val="1"/>
        <c:axPos val="l"/>
        <c:numFmt formatCode="_-* #,##0_-;\-* #,##0_-;_-* &quot;-&quot;??_-;_-@_-" sourceLinked="1"/>
        <c:tickLblPos val="none"/>
        <c:crossAx val="104188544"/>
        <c:crosses val="autoZero"/>
        <c:crossBetween val="between"/>
      </c:valAx>
    </c:plotArea>
    <c:plotVisOnly val="1"/>
    <c:dispBlanksAs val="gap"/>
  </c:chart>
  <c:txPr>
    <a:bodyPr/>
    <a:lstStyle/>
    <a:p>
      <a:pPr>
        <a:defRPr>
          <a:latin typeface="Panton" pitchFamily="50" charset="0"/>
        </a:defRPr>
      </a:pPr>
      <a:endParaRPr lang="es-MX"/>
    </a:p>
  </c:txPr>
  <c:externalData r:id="rId1"/>
  <c:extLst xmlns:c16r2="http://schemas.microsoft.com/office/drawing/2015/06/chart">
    <c:ext xmlns:c14="http://schemas.microsoft.com/office/drawing/2007/8/2/chart" uri="{781A3756-C4B2-4CAC-9D66-4F8BD8637D16}">
      <c14:pivotOptions>
        <c14:dropZoneFilter val="1"/>
        <c14:dropZoneCategories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lang val="es-MX"/>
  <c:style val="3"/>
  <c:chart>
    <c:autoTitleDeleted val="1"/>
    <c:plotArea>
      <c:layout/>
      <c:doughnutChart>
        <c:varyColors val="1"/>
        <c:ser>
          <c:idx val="0"/>
          <c:order val="0"/>
          <c:tx>
            <c:strRef>
              <c:f>Tablas!$B$8</c:f>
              <c:strCache>
                <c:ptCount val="1"/>
                <c:pt idx="0">
                  <c:v>Porcentaje</c:v>
                </c:pt>
              </c:strCache>
            </c:strRef>
          </c:tx>
          <c:spPr>
            <a:ln>
              <a:noFill/>
            </a:ln>
          </c:spPr>
          <c:explosion val="25"/>
          <c:dPt>
            <c:idx val="0"/>
            <c:spPr>
              <a:solidFill>
                <a:srgbClr val="002060"/>
              </a:solidFill>
              <a:ln>
                <a:noFill/>
              </a:ln>
            </c:spPr>
            <c:extLst xmlns:c16r2="http://schemas.microsoft.com/office/drawing/2015/06/chart">
              <c:ext xmlns:c16="http://schemas.microsoft.com/office/drawing/2014/chart" uri="{C3380CC4-5D6E-409C-BE32-E72D297353CC}">
                <c16:uniqueId val="{00000001-2FA0-CD4C-A088-9AB94D4E1D21}"/>
              </c:ext>
            </c:extLst>
          </c:dPt>
          <c:dPt>
            <c:idx val="1"/>
            <c:spPr>
              <a:solidFill>
                <a:schemeClr val="accent5"/>
              </a:solidFill>
              <a:ln>
                <a:noFill/>
              </a:ln>
            </c:spPr>
            <c:extLst xmlns:c16r2="http://schemas.microsoft.com/office/drawing/2015/06/chart">
              <c:ext xmlns:c16="http://schemas.microsoft.com/office/drawing/2014/chart" uri="{C3380CC4-5D6E-409C-BE32-E72D297353CC}">
                <c16:uniqueId val="{00000003-2FA0-CD4C-A088-9AB94D4E1D21}"/>
              </c:ext>
            </c:extLst>
          </c:dPt>
          <c:dLbls>
            <c:dLbl>
              <c:idx val="0"/>
              <c:layout>
                <c:manualLayout>
                  <c:x val="-9.3005050505050563E-2"/>
                  <c:y val="-7.89800995024875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A0-CD4C-A088-9AB94D4E1D21}"/>
                </c:ext>
              </c:extLst>
            </c:dLbl>
            <c:dLbl>
              <c:idx val="1"/>
              <c:layout>
                <c:manualLayout>
                  <c:x val="8.6590909090909121E-2"/>
                  <c:y val="0.1263681592039800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FA0-CD4C-A088-9AB94D4E1D21}"/>
                </c:ext>
              </c:extLst>
            </c:dLbl>
            <c:delete val="1"/>
            <c:numFmt formatCode="0.0%" sourceLinked="0"/>
            <c:spPr>
              <a:noFill/>
              <a:ln>
                <a:noFill/>
              </a:ln>
              <a:effectLst/>
            </c:spPr>
            <c:txPr>
              <a:bodyPr/>
              <a:lstStyle/>
              <a:p>
                <a:pPr>
                  <a:defRPr>
                    <a:solidFill>
                      <a:sysClr val="windowText" lastClr="000000"/>
                    </a:solidFill>
                    <a:latin typeface="Barlow Medium" panose="00000600000000000000" pitchFamily="2" charset="0"/>
                  </a:defRPr>
                </a:pPr>
                <a:endParaRPr lang="es-MX"/>
              </a:p>
            </c:txPr>
            <c:extLst xmlns:c16r2="http://schemas.microsoft.com/office/drawing/2015/06/chart">
              <c:ext xmlns:c15="http://schemas.microsoft.com/office/drawing/2012/chart" uri="{CE6537A1-D6FC-4f65-9D91-7224C49458BB}"/>
            </c:extLst>
          </c:dLbls>
          <c:cat>
            <c:strRef>
              <c:f>Tablas!$A$9:$A$10</c:f>
              <c:strCache>
                <c:ptCount val="2"/>
                <c:pt idx="0">
                  <c:v>Presupuesto no destinado a la inversión en infancia</c:v>
                </c:pt>
                <c:pt idx="1">
                  <c:v>Presupuesto destinado a la inversión en infancia</c:v>
                </c:pt>
              </c:strCache>
            </c:strRef>
          </c:cat>
          <c:val>
            <c:numRef>
              <c:f>Tablas!$B$9:$B$10</c:f>
              <c:numCache>
                <c:formatCode>0.00%</c:formatCode>
                <c:ptCount val="2"/>
                <c:pt idx="0">
                  <c:v>0.67685330447753089</c:v>
                </c:pt>
                <c:pt idx="1">
                  <c:v>0.32314669552246955</c:v>
                </c:pt>
              </c:numCache>
            </c:numRef>
          </c:val>
          <c:extLst xmlns:c16r2="http://schemas.microsoft.com/office/drawing/2015/06/chart">
            <c:ext xmlns:c16="http://schemas.microsoft.com/office/drawing/2014/chart" uri="{C3380CC4-5D6E-409C-BE32-E72D297353CC}">
              <c16:uniqueId val="{00000004-2FA0-CD4C-A088-9AB94D4E1D21}"/>
            </c:ext>
          </c:extLst>
        </c:ser>
        <c:firstSliceAng val="171"/>
        <c:holeSize val="50"/>
      </c:doughnutChart>
    </c:plotArea>
    <c:legend>
      <c:legendPos val="r"/>
      <c:txPr>
        <a:bodyPr/>
        <a:lstStyle/>
        <a:p>
          <a:pPr>
            <a:defRPr sz="900">
              <a:latin typeface="Barlow Medium" panose="00000600000000000000" pitchFamily="2" charset="0"/>
            </a:defRPr>
          </a:pPr>
          <a:endParaRPr lang="es-MX"/>
        </a:p>
      </c:txPr>
    </c:legend>
    <c:plotVisOnly val="1"/>
    <c:dispBlanksAs val="zero"/>
  </c:chart>
  <c:spPr>
    <a:noFill/>
  </c:spPr>
  <c:txPr>
    <a:bodyPr/>
    <a:lstStyle/>
    <a:p>
      <a:pPr>
        <a:defRPr>
          <a:latin typeface="Panton" pitchFamily="50" charset="0"/>
        </a:defRPr>
      </a:pPr>
      <a:endParaRPr lang="es-MX"/>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MX"/>
  <c:chart>
    <c:autoTitleDeleted val="1"/>
    <c:plotArea>
      <c:layout/>
      <c:barChart>
        <c:barDir val="col"/>
        <c:grouping val="clustered"/>
        <c:ser>
          <c:idx val="0"/>
          <c:order val="0"/>
          <c:spPr>
            <a:solidFill>
              <a:schemeClr val="tx2"/>
            </a:solidFill>
          </c:spP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Tablas!$F$12:$F$15</c:f>
              <c:strCache>
                <c:ptCount val="4"/>
                <c:pt idx="0">
                  <c:v>1 - Derecho a la Supervivencia</c:v>
                </c:pt>
                <c:pt idx="1">
                  <c:v>2 - Derecho al Desarrollo</c:v>
                </c:pt>
                <c:pt idx="2">
                  <c:v>3 - Derecho a la Protección</c:v>
                </c:pt>
                <c:pt idx="3">
                  <c:v>4 - Derecho a la Participación</c:v>
                </c:pt>
              </c:strCache>
            </c:strRef>
          </c:cat>
          <c:val>
            <c:numRef>
              <c:f>Tablas!$G$12:$G$15</c:f>
              <c:numCache>
                <c:formatCode>0.00%</c:formatCode>
                <c:ptCount val="4"/>
                <c:pt idx="0">
                  <c:v>0.30600436134300313</c:v>
                </c:pt>
                <c:pt idx="1">
                  <c:v>0.68444873463526335</c:v>
                </c:pt>
                <c:pt idx="2">
                  <c:v>9.1142452908048038E-3</c:v>
                </c:pt>
                <c:pt idx="3">
                  <c:v>4.326587309289538E-4</c:v>
                </c:pt>
              </c:numCache>
            </c:numRef>
          </c:val>
          <c:extLst xmlns:c16r2="http://schemas.microsoft.com/office/drawing/2015/06/chart">
            <c:ext xmlns:c16="http://schemas.microsoft.com/office/drawing/2014/chart" uri="{C3380CC4-5D6E-409C-BE32-E72D297353CC}">
              <c16:uniqueId val="{00000000-D040-DB41-A2FA-61B7C9BD7691}"/>
            </c:ext>
          </c:extLst>
        </c:ser>
        <c:dLbls>
          <c:showVal val="1"/>
        </c:dLbls>
        <c:overlap val="-25"/>
        <c:axId val="104223104"/>
        <c:axId val="104224640"/>
      </c:barChart>
      <c:catAx>
        <c:axId val="104223104"/>
        <c:scaling>
          <c:orientation val="minMax"/>
        </c:scaling>
        <c:axPos val="b"/>
        <c:numFmt formatCode="General" sourceLinked="0"/>
        <c:majorTickMark val="none"/>
        <c:tickLblPos val="nextTo"/>
        <c:crossAx val="104224640"/>
        <c:crosses val="autoZero"/>
        <c:auto val="1"/>
        <c:lblAlgn val="ctr"/>
        <c:lblOffset val="100"/>
      </c:catAx>
      <c:valAx>
        <c:axId val="104224640"/>
        <c:scaling>
          <c:orientation val="minMax"/>
        </c:scaling>
        <c:delete val="1"/>
        <c:axPos val="l"/>
        <c:numFmt formatCode="0.00%" sourceLinked="1"/>
        <c:tickLblPos val="none"/>
        <c:crossAx val="104223104"/>
        <c:crosses val="autoZero"/>
        <c:crossBetween val="between"/>
      </c:valAx>
    </c:plotArea>
    <c:plotVisOnly val="1"/>
    <c:dispBlanksAs val="gap"/>
  </c:chart>
  <c:txPr>
    <a:bodyPr/>
    <a:lstStyle/>
    <a:p>
      <a:pPr>
        <a:defRPr>
          <a:latin typeface="Barlow Medium" panose="00000600000000000000" pitchFamily="2" charset="0"/>
        </a:defRPr>
      </a:pPr>
      <a:endParaRPr lang="es-MX"/>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MX"/>
  <c:style val="3"/>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explosion val="25"/>
          <c:dLbls>
            <c:dLbl>
              <c:idx val="0"/>
              <c:layout>
                <c:manualLayout>
                  <c:x val="3.9528839382882007E-2"/>
                  <c:y val="2.8640415800102697E-3"/>
                </c:manualLayout>
              </c:layout>
              <c:numFmt formatCode="0.00%" sourceLinked="0"/>
              <c:spPr/>
              <c:txPr>
                <a:bodyPr/>
                <a:lstStyle/>
                <a:p>
                  <a:pPr>
                    <a:defRPr sz="1000">
                      <a:latin typeface="Barlow Medium" pitchFamily="2" charset="0"/>
                    </a:defRPr>
                  </a:pPr>
                  <a:endParaRPr lang="es-MX"/>
                </a:p>
              </c:txPr>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4B9-FE40-A144-47C3441BEA73}"/>
                </c:ext>
              </c:extLst>
            </c:dLbl>
            <c:dLbl>
              <c:idx val="1"/>
              <c:layout>
                <c:manualLayout>
                  <c:x val="-4.6520965367133946E-2"/>
                  <c:y val="-1.7336589036243782E-2"/>
                </c:manualLayout>
              </c:layout>
              <c:numFmt formatCode="0.00%" sourceLinked="0"/>
              <c:spPr/>
              <c:txPr>
                <a:bodyPr/>
                <a:lstStyle/>
                <a:p>
                  <a:pPr>
                    <a:defRPr sz="1000">
                      <a:latin typeface="Barlow Medium" pitchFamily="2" charset="0"/>
                    </a:defRPr>
                  </a:pPr>
                  <a:endParaRPr lang="es-MX"/>
                </a:p>
              </c:txPr>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4B9-FE40-A144-47C3441BEA73}"/>
                </c:ext>
              </c:extLst>
            </c:dLbl>
            <c:spPr>
              <a:noFill/>
              <a:ln>
                <a:noFill/>
              </a:ln>
              <a:effectLst/>
            </c:spPr>
            <c:txPr>
              <a:bodyPr/>
              <a:lstStyle/>
              <a:p>
                <a:pPr>
                  <a:defRPr sz="1000">
                    <a:latin typeface="Barlow Medium" pitchFamily="2" charset="0"/>
                  </a:defRPr>
                </a:pPr>
                <a:endParaRPr lang="es-MX"/>
              </a:p>
            </c:txPr>
            <c:showPercent val="1"/>
            <c:showLeaderLines val="1"/>
            <c:extLst xmlns:c16r2="http://schemas.microsoft.com/office/drawing/2015/06/chart">
              <c:ext xmlns:c15="http://schemas.microsoft.com/office/drawing/2012/chart" uri="{CE6537A1-D6FC-4f65-9D91-7224C49458BB}"/>
            </c:extLst>
          </c:dLbls>
          <c:cat>
            <c:strRef>
              <c:f>'Grafico 1'!$B$2:$B$3</c:f>
              <c:strCache>
                <c:ptCount val="2"/>
                <c:pt idx="0">
                  <c:v>Resto de presupuesto</c:v>
                </c:pt>
                <c:pt idx="1">
                  <c:v>Inversión en jóvenes 2019</c:v>
                </c:pt>
              </c:strCache>
            </c:strRef>
          </c:cat>
          <c:val>
            <c:numRef>
              <c:f>'Grafico 1'!$C$2:$C$3</c:f>
              <c:numCache>
                <c:formatCode>_-"$"* #,##0.00_-;\-"$"* #,##0.00_-;_-"$"* "-"??_-;_-@_-</c:formatCode>
                <c:ptCount val="2"/>
                <c:pt idx="0">
                  <c:v>34495598391</c:v>
                </c:pt>
                <c:pt idx="1">
                  <c:v>6094410273</c:v>
                </c:pt>
              </c:numCache>
            </c:numRef>
          </c:val>
          <c:extLst xmlns:c16r2="http://schemas.microsoft.com/office/drawing/2015/06/chart">
            <c:ext xmlns:c16="http://schemas.microsoft.com/office/drawing/2014/chart" uri="{C3380CC4-5D6E-409C-BE32-E72D297353CC}">
              <c16:uniqueId val="{00000002-F4B9-FE40-A144-47C3441BEA73}"/>
            </c:ext>
          </c:extLst>
        </c:ser>
        <c:dLbls>
          <c:showPercent val="1"/>
        </c:dLbls>
      </c:pie3DChart>
    </c:plotArea>
    <c:legend>
      <c:legendPos val="t"/>
      <c:layout>
        <c:manualLayout>
          <c:xMode val="edge"/>
          <c:yMode val="edge"/>
          <c:x val="0.13325753792970996"/>
          <c:y val="1.1034481160723161E-2"/>
          <c:w val="0.7334849241405802"/>
          <c:h val="8.4299671021859562E-2"/>
        </c:manualLayout>
      </c:layout>
      <c:txPr>
        <a:bodyPr/>
        <a:lstStyle/>
        <a:p>
          <a:pPr>
            <a:defRPr sz="1050">
              <a:latin typeface="Barlow Medium" pitchFamily="2" charset="0"/>
            </a:defRPr>
          </a:pPr>
          <a:endParaRPr lang="es-MX"/>
        </a:p>
      </c:txPr>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64481939757531"/>
          <c:y val="5.8447371711766116E-2"/>
          <c:w val="0.81508111486064239"/>
          <c:h val="0.84944005543072021"/>
        </c:manualLayout>
      </c:layout>
      <c:barChart>
        <c:barDir val="col"/>
        <c:grouping val="clustered"/>
        <c:ser>
          <c:idx val="0"/>
          <c:order val="0"/>
          <c:dPt>
            <c:idx val="0"/>
            <c:spPr>
              <a:solidFill>
                <a:srgbClr val="7030A0"/>
              </a:solidFill>
            </c:spPr>
            <c:extLst xmlns:c16r2="http://schemas.microsoft.com/office/drawing/2015/06/chart">
              <c:ext xmlns:c16="http://schemas.microsoft.com/office/drawing/2014/chart" uri="{C3380CC4-5D6E-409C-BE32-E72D297353CC}">
                <c16:uniqueId val="{00000001-FF4C-2F49-BA0D-E50C24D76AF7}"/>
              </c:ext>
            </c:extLst>
          </c:dPt>
          <c:dPt>
            <c:idx val="1"/>
            <c:spPr>
              <a:solidFill>
                <a:schemeClr val="accent6">
                  <a:lumMod val="75000"/>
                </a:schemeClr>
              </a:solidFill>
            </c:spPr>
            <c:extLst xmlns:c16r2="http://schemas.microsoft.com/office/drawing/2015/06/chart">
              <c:ext xmlns:c16="http://schemas.microsoft.com/office/drawing/2014/chart" uri="{C3380CC4-5D6E-409C-BE32-E72D297353CC}">
                <c16:uniqueId val="{00000003-FF4C-2F49-BA0D-E50C24D76AF7}"/>
              </c:ext>
            </c:extLst>
          </c:dPt>
          <c:dPt>
            <c:idx val="2"/>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5-FF4C-2F49-BA0D-E50C24D76AF7}"/>
              </c:ext>
            </c:extLst>
          </c:dPt>
          <c:dPt>
            <c:idx val="3"/>
            <c:spPr>
              <a:solidFill>
                <a:schemeClr val="accent3">
                  <a:lumMod val="75000"/>
                </a:schemeClr>
              </a:solidFill>
            </c:spPr>
            <c:extLst xmlns:c16r2="http://schemas.microsoft.com/office/drawing/2015/06/chart">
              <c:ext xmlns:c16="http://schemas.microsoft.com/office/drawing/2014/chart" uri="{C3380CC4-5D6E-409C-BE32-E72D297353CC}">
                <c16:uniqueId val="{00000007-FF4C-2F49-BA0D-E50C24D76AF7}"/>
              </c:ext>
            </c:extLst>
          </c:dPt>
          <c:dLbls>
            <c:spPr>
              <a:noFill/>
              <a:ln>
                <a:noFill/>
              </a:ln>
              <a:effectLst/>
            </c:spPr>
            <c:txPr>
              <a:bodyPr/>
              <a:lstStyle/>
              <a:p>
                <a:pPr>
                  <a:defRPr sz="1000" b="1">
                    <a:latin typeface="Barlow Medium" panose="00000600000000000000" pitchFamily="2" charset="0"/>
                  </a:defRPr>
                </a:pPr>
                <a:endParaRPr lang="es-MX"/>
              </a:p>
            </c:txPr>
            <c:showVal val="1"/>
            <c:extLst xmlns:c16r2="http://schemas.microsoft.com/office/drawing/2015/06/chart">
              <c:ext xmlns:c15="http://schemas.microsoft.com/office/drawing/2012/chart" uri="{CE6537A1-D6FC-4f65-9D91-7224C49458BB}">
                <c15:showLeaderLines val="0"/>
              </c:ext>
            </c:extLst>
          </c:dLbls>
          <c:cat>
            <c:strRef>
              <c:f>'Grafico 2'!$B$2:$B$5</c:f>
              <c:strCache>
                <c:ptCount val="4"/>
                <c:pt idx="0">
                  <c:v>Agéntico</c:v>
                </c:pt>
                <c:pt idx="1">
                  <c:v>Ampliado</c:v>
                </c:pt>
                <c:pt idx="2">
                  <c:v>Específico</c:v>
                </c:pt>
                <c:pt idx="3">
                  <c:v>Bienes Públicos</c:v>
                </c:pt>
              </c:strCache>
            </c:strRef>
          </c:cat>
          <c:val>
            <c:numRef>
              <c:f>'Grafico 2'!$C$2:$C$5</c:f>
              <c:numCache>
                <c:formatCode>0.00%</c:formatCode>
                <c:ptCount val="4"/>
                <c:pt idx="0">
                  <c:v>0.76257225073465451</c:v>
                </c:pt>
                <c:pt idx="1">
                  <c:v>0.11448735242056474</c:v>
                </c:pt>
                <c:pt idx="2">
                  <c:v>6.9387307434406867E-2</c:v>
                </c:pt>
                <c:pt idx="3">
                  <c:v>5.355308941037365E-2</c:v>
                </c:pt>
              </c:numCache>
            </c:numRef>
          </c:val>
          <c:extLst xmlns:c16r2="http://schemas.microsoft.com/office/drawing/2015/06/chart">
            <c:ext xmlns:c16="http://schemas.microsoft.com/office/drawing/2014/chart" uri="{C3380CC4-5D6E-409C-BE32-E72D297353CC}">
              <c16:uniqueId val="{00000008-FF4C-2F49-BA0D-E50C24D76AF7}"/>
            </c:ext>
          </c:extLst>
        </c:ser>
        <c:axId val="151552768"/>
        <c:axId val="151554304"/>
      </c:barChart>
      <c:catAx>
        <c:axId val="151552768"/>
        <c:scaling>
          <c:orientation val="minMax"/>
        </c:scaling>
        <c:axPos val="b"/>
        <c:numFmt formatCode="General" sourceLinked="0"/>
        <c:majorTickMark val="none"/>
        <c:tickLblPos val="nextTo"/>
        <c:txPr>
          <a:bodyPr/>
          <a:lstStyle/>
          <a:p>
            <a:pPr>
              <a:defRPr sz="1000" b="1">
                <a:latin typeface="Barlow Medium" panose="00000600000000000000" pitchFamily="2" charset="0"/>
              </a:defRPr>
            </a:pPr>
            <a:endParaRPr lang="es-MX"/>
          </a:p>
        </c:txPr>
        <c:crossAx val="151554304"/>
        <c:crosses val="autoZero"/>
        <c:auto val="1"/>
        <c:lblAlgn val="ctr"/>
        <c:lblOffset val="100"/>
      </c:catAx>
      <c:valAx>
        <c:axId val="151554304"/>
        <c:scaling>
          <c:orientation val="minMax"/>
        </c:scaling>
        <c:axPos val="l"/>
        <c:title>
          <c:tx>
            <c:rich>
              <a:bodyPr/>
              <a:lstStyle/>
              <a:p>
                <a:pPr>
                  <a:defRPr sz="1000">
                    <a:latin typeface="Barlow Medium" panose="00000600000000000000" pitchFamily="2" charset="0"/>
                  </a:defRPr>
                </a:pPr>
                <a:r>
                  <a:rPr lang="en-US" sz="1000">
                    <a:latin typeface="Barlow Medium" panose="00000600000000000000" pitchFamily="2" charset="0"/>
                  </a:rPr>
                  <a:t>Porcentaje</a:t>
                </a:r>
              </a:p>
            </c:rich>
          </c:tx>
        </c:title>
        <c:numFmt formatCode="0%" sourceLinked="0"/>
        <c:majorTickMark val="none"/>
        <c:tickLblPos val="nextTo"/>
        <c:txPr>
          <a:bodyPr/>
          <a:lstStyle/>
          <a:p>
            <a:pPr>
              <a:defRPr sz="1000">
                <a:latin typeface="Barlow Medium" panose="00000600000000000000" pitchFamily="2" charset="0"/>
              </a:defRPr>
            </a:pPr>
            <a:endParaRPr lang="es-MX"/>
          </a:p>
        </c:txPr>
        <c:crossAx val="151552768"/>
        <c:crosses val="autoZero"/>
        <c:crossBetween val="between"/>
      </c:valAx>
    </c:plotArea>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autoTitleDeleted val="1"/>
    <c:view3D>
      <c:rotX val="30"/>
      <c:rotY val="160"/>
      <c:perspective val="30"/>
    </c:view3D>
    <c:plotArea>
      <c:layout/>
      <c:pie3DChart>
        <c:varyColors val="1"/>
        <c:ser>
          <c:idx val="0"/>
          <c:order val="0"/>
          <c:explosion val="25"/>
          <c:dLbls>
            <c:dLbl>
              <c:idx val="0"/>
              <c:layout>
                <c:manualLayout>
                  <c:x val="-8.6017402945113841E-3"/>
                  <c:y val="-3.7485202091246353E-2"/>
                </c:manualLayout>
              </c:layout>
              <c:numFmt formatCode="0.00%" sourceLinked="0"/>
              <c:spPr/>
              <c:txPr>
                <a:bodyPr/>
                <a:lstStyle/>
                <a:p>
                  <a:pPr>
                    <a:defRPr sz="1000" b="1">
                      <a:latin typeface="Barlow Medium" panose="00000600000000000000" pitchFamily="2" charset="0"/>
                    </a:defRPr>
                  </a:pPr>
                  <a:endParaRPr lang="es-MX"/>
                </a:p>
              </c:txPr>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FB1-874A-9003-898B009F8E48}"/>
                </c:ext>
              </c:extLst>
            </c:dLbl>
            <c:dLbl>
              <c:idx val="1"/>
              <c:layout>
                <c:manualLayout>
                  <c:x val="3.6183644102520091E-2"/>
                  <c:y val="-0.22356464406318663"/>
                </c:manualLayout>
              </c:layout>
              <c:tx>
                <c:rich>
                  <a:bodyPr/>
                  <a:lstStyle/>
                  <a:p>
                    <a:r>
                      <a:rPr lang="en-US" sz="1000"/>
                      <a:t>Asistencia social
</a:t>
                    </a:r>
                    <a:r>
                      <a:rPr lang="en-US" sz="1000">
                        <a:latin typeface="Barlow Medium" panose="00000600000000000000" pitchFamily="2" charset="0"/>
                      </a:rPr>
                      <a:t>4.92</a:t>
                    </a:r>
                    <a:r>
                      <a:rPr lang="en-US" sz="1000"/>
                      <a:t>%</a:t>
                    </a:r>
                    <a:endParaRPr lang="en-US"/>
                  </a:p>
                </c:rich>
              </c:tx>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FB1-874A-9003-898B009F8E48}"/>
                </c:ext>
              </c:extLst>
            </c:dLbl>
            <c:dLbl>
              <c:idx val="2"/>
              <c:layout>
                <c:manualLayout>
                  <c:x val="7.4865775953083802E-2"/>
                  <c:y val="-3.1213185235917609E-2"/>
                </c:manualLayout>
              </c:layout>
              <c:numFmt formatCode="0.00%" sourceLinked="0"/>
              <c:spPr/>
              <c:txPr>
                <a:bodyPr/>
                <a:lstStyle/>
                <a:p>
                  <a:pPr>
                    <a:defRPr sz="1000" b="1">
                      <a:latin typeface="Barlow Medium" panose="00000600000000000000" pitchFamily="2" charset="0"/>
                    </a:defRPr>
                  </a:pPr>
                  <a:endParaRPr lang="es-MX"/>
                </a:p>
              </c:txPr>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FB1-874A-9003-898B009F8E48}"/>
                </c:ext>
              </c:extLst>
            </c:dLbl>
            <c:dLbl>
              <c:idx val="3"/>
              <c:layout>
                <c:manualLayout>
                  <c:x val="-0.15702276987576302"/>
                  <c:y val="-7.101286376468699E-2"/>
                </c:manualLayout>
              </c:layout>
              <c:numFmt formatCode="0.00%" sourceLinked="0"/>
              <c:spPr/>
              <c:txPr>
                <a:bodyPr/>
                <a:lstStyle/>
                <a:p>
                  <a:pPr>
                    <a:defRPr sz="1000" b="1">
                      <a:latin typeface="Barlow Medium" panose="00000600000000000000" pitchFamily="2" charset="0"/>
                    </a:defRPr>
                  </a:pPr>
                  <a:endParaRPr lang="es-MX"/>
                </a:p>
              </c:txPr>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FB1-874A-9003-898B009F8E48}"/>
                </c:ext>
              </c:extLst>
            </c:dLbl>
            <c:numFmt formatCode="0.00%" sourceLinked="0"/>
            <c:spPr>
              <a:noFill/>
              <a:ln>
                <a:noFill/>
              </a:ln>
              <a:effectLst/>
            </c:spPr>
            <c:txPr>
              <a:bodyPr/>
              <a:lstStyle/>
              <a:p>
                <a:pPr>
                  <a:defRPr sz="1000" b="1"/>
                </a:pPr>
                <a:endParaRPr lang="es-MX"/>
              </a:p>
            </c:txPr>
            <c:showCatName val="1"/>
            <c:showPercent val="1"/>
            <c:showLeaderLines val="1"/>
            <c:extLst xmlns:c16r2="http://schemas.microsoft.com/office/drawing/2015/06/chart">
              <c:ext xmlns:c15="http://schemas.microsoft.com/office/drawing/2012/chart" uri="{CE6537A1-D6FC-4f65-9D91-7224C49458BB}"/>
            </c:extLst>
          </c:dLbls>
          <c:cat>
            <c:strRef>
              <c:f>'Grafico 3'!$B$4:$B$7</c:f>
              <c:strCache>
                <c:ptCount val="4"/>
                <c:pt idx="0">
                  <c:v>Educación</c:v>
                </c:pt>
                <c:pt idx="1">
                  <c:v>Asistencia social</c:v>
                </c:pt>
                <c:pt idx="2">
                  <c:v>Deporte, recreación y cultura</c:v>
                </c:pt>
                <c:pt idx="3">
                  <c:v>Otros</c:v>
                </c:pt>
              </c:strCache>
            </c:strRef>
          </c:cat>
          <c:val>
            <c:numRef>
              <c:f>'Grafico 3'!$C$4:$C$7</c:f>
              <c:numCache>
                <c:formatCode>_-"$"* #,##0_-;\-"$"* #,##0_-;_-"$"* "-"??_-;_-@_-</c:formatCode>
                <c:ptCount val="4"/>
                <c:pt idx="0">
                  <c:v>5472717906</c:v>
                </c:pt>
                <c:pt idx="1">
                  <c:v>300090259</c:v>
                </c:pt>
                <c:pt idx="2">
                  <c:v>143546524</c:v>
                </c:pt>
                <c:pt idx="3">
                  <c:v>188712126</c:v>
                </c:pt>
              </c:numCache>
            </c:numRef>
          </c:val>
          <c:extLst xmlns:c16r2="http://schemas.microsoft.com/office/drawing/2015/06/chart">
            <c:ext xmlns:c16="http://schemas.microsoft.com/office/drawing/2014/chart" uri="{C3380CC4-5D6E-409C-BE32-E72D297353CC}">
              <c16:uniqueId val="{00000004-6FB1-874A-9003-898B009F8E48}"/>
            </c:ext>
          </c:extLst>
        </c:ser>
        <c:dLbls>
          <c:showCatName val="1"/>
          <c:showPercent val="1"/>
        </c:dLbls>
      </c:pie3DChart>
    </c:plotArea>
    <c:plotVisOnly val="1"/>
    <c:dispBlanksAs val="zero"/>
  </c:chart>
  <c:externalData r:id="rId2"/>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DA0EB20F56816479969A55D850A82C8"/>
        <w:category>
          <w:name w:val="General"/>
          <w:gallery w:val="placeholder"/>
        </w:category>
        <w:types>
          <w:type w:val="bbPlcHdr"/>
        </w:types>
        <w:behaviors>
          <w:behavior w:val="content"/>
        </w:behaviors>
        <w:guid w:val="{3B7B4763-EB77-1A41-A2A0-97419DB7BA46}"/>
      </w:docPartPr>
      <w:docPartBody>
        <w:p w:rsidR="005D7DC0" w:rsidRDefault="005D7DC0" w:rsidP="005D7DC0">
          <w:pPr>
            <w:pStyle w:val="0DA0EB20F56816479969A55D850A82C8"/>
          </w:pPr>
          <w:r>
            <w:rPr>
              <w:lang w:val="es-ES"/>
            </w:rPr>
            <w:t>[Escriba texto]</w:t>
          </w:r>
        </w:p>
      </w:docPartBody>
    </w:docPart>
    <w:docPart>
      <w:docPartPr>
        <w:name w:val="6B1EEBAFF7AEF84E8CDB9261B7EF35E8"/>
        <w:category>
          <w:name w:val="General"/>
          <w:gallery w:val="placeholder"/>
        </w:category>
        <w:types>
          <w:type w:val="bbPlcHdr"/>
        </w:types>
        <w:behaviors>
          <w:behavior w:val="content"/>
        </w:behaviors>
        <w:guid w:val="{E7C6A099-CB7A-D940-B0FC-0D6E593C0B30}"/>
      </w:docPartPr>
      <w:docPartBody>
        <w:p w:rsidR="005D7DC0" w:rsidRDefault="005D7DC0" w:rsidP="005D7DC0">
          <w:pPr>
            <w:pStyle w:val="6B1EEBAFF7AEF84E8CDB9261B7EF35E8"/>
          </w:pPr>
          <w:r>
            <w:rPr>
              <w:lang w:val="es-ES"/>
            </w:rPr>
            <w:t>[Escriba texto]</w:t>
          </w:r>
        </w:p>
      </w:docPartBody>
    </w:docPart>
    <w:docPart>
      <w:docPartPr>
        <w:name w:val="9A817A72C6CEE940B8153C7768F71DDC"/>
        <w:category>
          <w:name w:val="General"/>
          <w:gallery w:val="placeholder"/>
        </w:category>
        <w:types>
          <w:type w:val="bbPlcHdr"/>
        </w:types>
        <w:behaviors>
          <w:behavior w:val="content"/>
        </w:behaviors>
        <w:guid w:val="{6684DEC9-302D-3444-9926-FE02BDCA66B5}"/>
      </w:docPartPr>
      <w:docPartBody>
        <w:p w:rsidR="005D7DC0" w:rsidRDefault="005D7DC0" w:rsidP="005D7DC0">
          <w:pPr>
            <w:pStyle w:val="9A817A72C6CEE940B8153C7768F71DDC"/>
          </w:pPr>
          <w:r>
            <w:rPr>
              <w:lang w:val="es-ES"/>
            </w:rPr>
            <w:t>[Escriba texto]</w:t>
          </w:r>
        </w:p>
      </w:docPartBody>
    </w:docPart>
    <w:docPart>
      <w:docPartPr>
        <w:name w:val="60D6B8F67FE97543B83CF529CDA6D00E"/>
        <w:category>
          <w:name w:val="General"/>
          <w:gallery w:val="placeholder"/>
        </w:category>
        <w:types>
          <w:type w:val="bbPlcHdr"/>
        </w:types>
        <w:behaviors>
          <w:behavior w:val="content"/>
        </w:behaviors>
        <w:guid w:val="{267A57A6-4B20-944C-9C0D-89B575F5D152}"/>
      </w:docPartPr>
      <w:docPartBody>
        <w:p w:rsidR="005D7DC0" w:rsidRDefault="005D7DC0" w:rsidP="005D7DC0">
          <w:pPr>
            <w:pStyle w:val="60D6B8F67FE97543B83CF529CDA6D00E"/>
          </w:pPr>
          <w:r>
            <w:rPr>
              <w:lang w:val="es-ES"/>
            </w:rPr>
            <w:t>[Escriba texto]</w:t>
          </w:r>
        </w:p>
      </w:docPartBody>
    </w:docPart>
    <w:docPart>
      <w:docPartPr>
        <w:name w:val="76399368C531AE4CBFA6BA9B6490A284"/>
        <w:category>
          <w:name w:val="General"/>
          <w:gallery w:val="placeholder"/>
        </w:category>
        <w:types>
          <w:type w:val="bbPlcHdr"/>
        </w:types>
        <w:behaviors>
          <w:behavior w:val="content"/>
        </w:behaviors>
        <w:guid w:val="{63C757E9-D4A8-C848-AFA3-8248EFBE8BC0}"/>
      </w:docPartPr>
      <w:docPartBody>
        <w:p w:rsidR="005D7DC0" w:rsidRDefault="005D7DC0" w:rsidP="005D7DC0">
          <w:pPr>
            <w:pStyle w:val="76399368C531AE4CBFA6BA9B6490A284"/>
          </w:pPr>
          <w:r>
            <w:rPr>
              <w:lang w:val="es-ES"/>
            </w:rPr>
            <w:t>[Escriba texto]</w:t>
          </w:r>
        </w:p>
      </w:docPartBody>
    </w:docPart>
    <w:docPart>
      <w:docPartPr>
        <w:name w:val="0CAE6E5861A48C448E2C870FDBA50025"/>
        <w:category>
          <w:name w:val="General"/>
          <w:gallery w:val="placeholder"/>
        </w:category>
        <w:types>
          <w:type w:val="bbPlcHdr"/>
        </w:types>
        <w:behaviors>
          <w:behavior w:val="content"/>
        </w:behaviors>
        <w:guid w:val="{AF503A08-3970-1F44-929C-5C06D18589DC}"/>
      </w:docPartPr>
      <w:docPartBody>
        <w:p w:rsidR="005D7DC0" w:rsidRDefault="005D7DC0" w:rsidP="005D7DC0">
          <w:pPr>
            <w:pStyle w:val="0CAE6E5861A48C448E2C870FDBA50025"/>
          </w:pPr>
          <w:r>
            <w:rPr>
              <w:lang w:val="es-ES"/>
            </w:rPr>
            <w:t>[Escriba texto]</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swiss"/>
    <w:pitch w:val="variable"/>
    <w:sig w:usb0="E1000AEF" w:usb1="5000A1FF" w:usb2="00000000" w:usb3="00000000" w:csb0="000001BF" w:csb1="00000000"/>
  </w:font>
  <w:font w:name="Soberana Titular">
    <w:altName w:val="Cambria"/>
    <w:charset w:val="4D"/>
    <w:family w:val="auto"/>
    <w:pitch w:val="variable"/>
    <w:sig w:usb0="800000AF" w:usb1="4000204A" w:usb2="00000000" w:usb3="00000000" w:csb0="00000001" w:csb1="00000000"/>
  </w:font>
  <w:font w:name="Barlow">
    <w:altName w:val="Calibri"/>
    <w:panose1 w:val="00000500000000000000"/>
    <w:charset w:val="00"/>
    <w:family w:val="auto"/>
    <w:pitch w:val="variable"/>
    <w:sig w:usb0="00000007" w:usb1="00000000" w:usb2="00000000" w:usb3="00000000" w:csb0="00000093" w:csb1="00000000"/>
  </w:font>
  <w:font w:name="Barlow Medium">
    <w:altName w:val="Cambria"/>
    <w:panose1 w:val="00000600000000000000"/>
    <w:charset w:val="00"/>
    <w:family w:val="auto"/>
    <w:pitch w:val="variable"/>
    <w:sig w:usb0="00000007" w:usb1="00000000" w:usb2="00000000" w:usb3="00000000" w:csb0="00000093" w:csb1="00000000"/>
  </w:font>
  <w:font w:name="Barlow Light">
    <w:panose1 w:val="00000400000000000000"/>
    <w:charset w:val="00"/>
    <w:family w:val="auto"/>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5D7DC0"/>
    <w:rsid w:val="001877D4"/>
    <w:rsid w:val="00445CD9"/>
    <w:rsid w:val="005D7DC0"/>
    <w:rsid w:val="00777687"/>
    <w:rsid w:val="00914442"/>
    <w:rsid w:val="00A92E39"/>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7687"/>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DA0EB20F56816479969A55D850A82C8">
    <w:name w:val="0DA0EB20F56816479969A55D850A82C8"/>
    <w:rsid w:val="005D7DC0"/>
  </w:style>
  <w:style w:type="paragraph" w:customStyle="1" w:styleId="6B1EEBAFF7AEF84E8CDB9261B7EF35E8">
    <w:name w:val="6B1EEBAFF7AEF84E8CDB9261B7EF35E8"/>
    <w:rsid w:val="005D7DC0"/>
  </w:style>
  <w:style w:type="paragraph" w:customStyle="1" w:styleId="9A817A72C6CEE940B8153C7768F71DDC">
    <w:name w:val="9A817A72C6CEE940B8153C7768F71DDC"/>
    <w:rsid w:val="005D7DC0"/>
  </w:style>
  <w:style w:type="paragraph" w:customStyle="1" w:styleId="9699D2467E0E1744B7C91CE9C3C68BFF">
    <w:name w:val="9699D2467E0E1744B7C91CE9C3C68BFF"/>
    <w:rsid w:val="005D7DC0"/>
  </w:style>
  <w:style w:type="paragraph" w:customStyle="1" w:styleId="C659E3ABF2B29B4BA03E9A83D75AFB32">
    <w:name w:val="C659E3ABF2B29B4BA03E9A83D75AFB32"/>
    <w:rsid w:val="005D7DC0"/>
  </w:style>
  <w:style w:type="paragraph" w:customStyle="1" w:styleId="4EACDED2C331F84ABFFBFEBCC890C56D">
    <w:name w:val="4EACDED2C331F84ABFFBFEBCC890C56D"/>
    <w:rsid w:val="005D7DC0"/>
  </w:style>
  <w:style w:type="paragraph" w:customStyle="1" w:styleId="60D6B8F67FE97543B83CF529CDA6D00E">
    <w:name w:val="60D6B8F67FE97543B83CF529CDA6D00E"/>
    <w:rsid w:val="005D7DC0"/>
  </w:style>
  <w:style w:type="paragraph" w:customStyle="1" w:styleId="76399368C531AE4CBFA6BA9B6490A284">
    <w:name w:val="76399368C531AE4CBFA6BA9B6490A284"/>
    <w:rsid w:val="005D7DC0"/>
  </w:style>
  <w:style w:type="paragraph" w:customStyle="1" w:styleId="0CAE6E5861A48C448E2C870FDBA50025">
    <w:name w:val="0CAE6E5861A48C448E2C870FDBA50025"/>
    <w:rsid w:val="005D7DC0"/>
  </w:style>
  <w:style w:type="paragraph" w:customStyle="1" w:styleId="7BE5194200012648AB7C3BE435535C21">
    <w:name w:val="7BE5194200012648AB7C3BE435535C21"/>
    <w:rsid w:val="005D7DC0"/>
  </w:style>
  <w:style w:type="paragraph" w:customStyle="1" w:styleId="201BA6E997FE9641BAD2568EECA12D98">
    <w:name w:val="201BA6E997FE9641BAD2568EECA12D98"/>
    <w:rsid w:val="005D7DC0"/>
  </w:style>
  <w:style w:type="paragraph" w:customStyle="1" w:styleId="B7BC0B7B7CC53741B575386E80F3C56B">
    <w:name w:val="B7BC0B7B7CC53741B575386E80F3C56B"/>
    <w:rsid w:val="005D7DC0"/>
  </w:style>
</w:styles>
</file>

<file path=word/glossary/webSettings.xml><?xml version="1.0" encoding="utf-8"?>
<w:webSettings xmlns:r="http://schemas.openxmlformats.org/officeDocument/2006/relationships" xmlns:w="http://schemas.openxmlformats.org/wordprocessingml/2006/main">
  <w:allowPNG/>
</w:webSettings>
</file>

<file path=word/theme/theme1.xml><?xml version="1.0" encoding="utf-8"?>
<a:theme xmlns:a="http://schemas.openxmlformats.org/drawingml/2006/main" name="Tema de Office">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40E2A8-599E-4AA0-B471-C55B82E4F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149</Pages>
  <Words>42429</Words>
  <Characters>233363</Characters>
  <Application>Microsoft Office Word</Application>
  <DocSecurity>0</DocSecurity>
  <Lines>1944</Lines>
  <Paragraphs>550</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275242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creator>
  <cp:lastModifiedBy>diana.morales</cp:lastModifiedBy>
  <cp:revision>3</cp:revision>
  <cp:lastPrinted>2018-10-29T17:59:00Z</cp:lastPrinted>
  <dcterms:created xsi:type="dcterms:W3CDTF">2018-12-20T18:39:00Z</dcterms:created>
  <dcterms:modified xsi:type="dcterms:W3CDTF">2018-12-20T21:16:00Z</dcterms:modified>
</cp:coreProperties>
</file>