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46A" w:rsidRPr="00E9201A" w:rsidRDefault="00CB246A" w:rsidP="00CB246A">
      <w:pPr>
        <w:autoSpaceDE w:val="0"/>
        <w:autoSpaceDN w:val="0"/>
        <w:adjustRightInd w:val="0"/>
        <w:spacing w:after="0" w:line="276" w:lineRule="auto"/>
        <w:contextualSpacing/>
        <w:jc w:val="both"/>
        <w:rPr>
          <w:rFonts w:cs="Arial"/>
          <w:szCs w:val="24"/>
        </w:rPr>
      </w:pPr>
    </w:p>
    <w:p w:rsidR="00CB246A" w:rsidRPr="00E9201A" w:rsidRDefault="00CB246A" w:rsidP="00CB246A">
      <w:pPr>
        <w:adjustRightInd w:val="0"/>
        <w:spacing w:after="0" w:line="276" w:lineRule="auto"/>
        <w:contextualSpacing/>
        <w:jc w:val="center"/>
        <w:rPr>
          <w:rFonts w:cs="Arial"/>
          <w:b/>
          <w:bCs/>
          <w:szCs w:val="24"/>
          <w:lang w:eastAsia="es-MX"/>
        </w:rPr>
      </w:pPr>
      <w:r w:rsidRPr="00E9201A">
        <w:rPr>
          <w:rFonts w:cs="Arial"/>
          <w:b/>
          <w:bCs/>
          <w:szCs w:val="24"/>
          <w:lang w:eastAsia="es-MX"/>
        </w:rPr>
        <w:t>INICIATIVA DE LA LEY DE INGRESOS DEL MUNICIPIO DE CENOTILLO,</w:t>
      </w:r>
    </w:p>
    <w:p w:rsidR="00CB246A" w:rsidRPr="00E9201A" w:rsidRDefault="00CB246A" w:rsidP="00CB246A">
      <w:pPr>
        <w:adjustRightInd w:val="0"/>
        <w:spacing w:after="0" w:line="276" w:lineRule="auto"/>
        <w:contextualSpacing/>
        <w:jc w:val="center"/>
        <w:rPr>
          <w:rFonts w:cs="Arial"/>
          <w:b/>
          <w:bCs/>
          <w:szCs w:val="24"/>
          <w:lang w:eastAsia="es-MX"/>
        </w:rPr>
      </w:pPr>
      <w:r w:rsidRPr="00E9201A">
        <w:rPr>
          <w:rFonts w:cs="Arial"/>
          <w:b/>
          <w:bCs/>
          <w:szCs w:val="24"/>
          <w:lang w:eastAsia="es-MX"/>
        </w:rPr>
        <w:t>YUCATÁN, PARA EL EJERCICIO FISCAL 20</w:t>
      </w:r>
      <w:r>
        <w:rPr>
          <w:rFonts w:cs="Arial"/>
          <w:b/>
          <w:bCs/>
          <w:szCs w:val="24"/>
          <w:lang w:eastAsia="es-MX"/>
        </w:rPr>
        <w:t>20</w:t>
      </w:r>
    </w:p>
    <w:p w:rsidR="00CB246A" w:rsidRDefault="00CB246A" w:rsidP="00CB246A">
      <w:pPr>
        <w:autoSpaceDE w:val="0"/>
        <w:autoSpaceDN w:val="0"/>
        <w:adjustRightInd w:val="0"/>
        <w:spacing w:after="0"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TÍTULO PRIMERO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DISPOSICIONES GENERALES</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 la Naturaleza y el Objeto de la Ley</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1.- </w:t>
      </w:r>
      <w:r w:rsidRPr="002C3A74">
        <w:rPr>
          <w:rFonts w:cs="Arial"/>
          <w:szCs w:val="24"/>
        </w:rPr>
        <w:t>La presente Ley es de orden público y de interés social, y tiene por objeto establecer los ingresos que percibirá la Hacienda Pública del Ayuntamiento de Cenotillo, Yucatán, a través de su Tesorería Municipal, durante el ejercicio fiscal del año 2020.</w:t>
      </w:r>
    </w:p>
    <w:p w:rsidR="008E1D8D" w:rsidRDefault="008E1D8D"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Pr>
          <w:rFonts w:cs="Arial"/>
          <w:b/>
          <w:bCs/>
          <w:szCs w:val="24"/>
        </w:rPr>
        <w:t>A</w:t>
      </w:r>
      <w:r w:rsidRPr="002C3A74">
        <w:rPr>
          <w:rFonts w:cs="Arial"/>
          <w:b/>
          <w:bCs/>
          <w:szCs w:val="24"/>
        </w:rPr>
        <w:t xml:space="preserve">rtículo 2.- </w:t>
      </w:r>
      <w:r w:rsidRPr="002C3A74">
        <w:rPr>
          <w:rFonts w:cs="Arial"/>
          <w:szCs w:val="24"/>
        </w:rPr>
        <w:t>Las personas domiciliadas dentro del Municipio de Cenotillo,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8E1D8D" w:rsidRDefault="008E1D8D"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3.- </w:t>
      </w:r>
      <w:r w:rsidRPr="002C3A74">
        <w:rPr>
          <w:rFonts w:cs="Arial"/>
          <w:szCs w:val="24"/>
        </w:rPr>
        <w:t>Los ingresos que se recauden por los conceptos señalados en la presente Ley, se destinarán a sufragar los gastos públicos establecidos y autorizados en el Presupuesto de Egresos del Municipio de Cenotillo, Yucatán, así como en lo dispuesto en los convenios de coordinación fiscal y en las leyes en que se fundamenten.</w:t>
      </w:r>
    </w:p>
    <w:p w:rsidR="008E1D8D" w:rsidRDefault="008E1D8D"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 los Conceptos de Ingresos y su Pronóstico</w:t>
      </w:r>
    </w:p>
    <w:p w:rsidR="008E1D8D" w:rsidRDefault="008E1D8D"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bookmarkStart w:id="0" w:name="_GoBack"/>
      <w:bookmarkEnd w:id="0"/>
      <w:r w:rsidRPr="002C3A74">
        <w:rPr>
          <w:rFonts w:cs="Arial"/>
          <w:b/>
          <w:bCs/>
          <w:szCs w:val="24"/>
        </w:rPr>
        <w:t xml:space="preserve">Artículo 4.- </w:t>
      </w:r>
      <w:r w:rsidRPr="002C3A74">
        <w:rPr>
          <w:rFonts w:cs="Arial"/>
          <w:szCs w:val="24"/>
        </w:rPr>
        <w:t>Los conceptos por los que la Hacienda Pública del Municipio de Cenotillo, Yucatán, percibirá ingresos, serán los siguientes:</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I.- </w:t>
      </w:r>
      <w:r w:rsidRPr="002C3A74">
        <w:rPr>
          <w:rFonts w:cs="Arial"/>
          <w:szCs w:val="24"/>
        </w:rPr>
        <w:t>Impuestos;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II.- </w:t>
      </w:r>
      <w:r w:rsidRPr="002C3A74">
        <w:rPr>
          <w:rFonts w:cs="Arial"/>
          <w:szCs w:val="24"/>
        </w:rPr>
        <w:t>Derechos;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III.- </w:t>
      </w:r>
      <w:r w:rsidRPr="002C3A74">
        <w:rPr>
          <w:rFonts w:cs="Arial"/>
          <w:szCs w:val="24"/>
        </w:rPr>
        <w:t>Contribuciones de Mejoras;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IV.- </w:t>
      </w:r>
      <w:r w:rsidRPr="002C3A74">
        <w:rPr>
          <w:rFonts w:cs="Arial"/>
          <w:szCs w:val="24"/>
        </w:rPr>
        <w:t>Productos;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V.- </w:t>
      </w:r>
      <w:r w:rsidRPr="002C3A74">
        <w:rPr>
          <w:rFonts w:cs="Arial"/>
          <w:szCs w:val="24"/>
        </w:rPr>
        <w:t>Aprovechamientos;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VI.- </w:t>
      </w:r>
      <w:r w:rsidRPr="002C3A74">
        <w:rPr>
          <w:rFonts w:cs="Arial"/>
          <w:szCs w:val="24"/>
        </w:rPr>
        <w:t>Participaciones Federales y Estatales;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szCs w:val="24"/>
        </w:rPr>
        <w:t>VII.-</w:t>
      </w:r>
      <w:r w:rsidRPr="002C3A74">
        <w:rPr>
          <w:rFonts w:cs="Arial"/>
          <w:szCs w:val="24"/>
        </w:rPr>
        <w:t xml:space="preserve"> Aportaciones; y</w:t>
      </w: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VIII.- </w:t>
      </w:r>
      <w:r w:rsidRPr="002C3A74">
        <w:rPr>
          <w:rFonts w:cs="Arial"/>
          <w:szCs w:val="24"/>
        </w:rPr>
        <w:t>Ingresos Extraordinarios.</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lastRenderedPageBreak/>
        <w:t xml:space="preserve">Artículo 5.- </w:t>
      </w:r>
      <w:r w:rsidRPr="002C3A74">
        <w:rPr>
          <w:rFonts w:cs="Arial"/>
          <w:szCs w:val="24"/>
        </w:rPr>
        <w:t>Los impuestos que el municipio percibirá se clasificarán como sigue:</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Impuestos </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$ 520,520.00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Impuestos sobre los ingresos </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19,800.00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&gt; Impuesto sobre Espectáculos y Diversiones Públicas </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19,800.00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Impuestos sobre el patrimonio </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$ 473,000.00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&gt; Impuesto Predial </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$ 473,000.00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Impuestos sobre la producción, el consumo y las transacciones </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27,720.00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&gt; Impuesto sobre Adquisición de Inmuebles </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27,720.00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Impuestos Ecológicos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Accesorios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Actualizaciones y Recargos de Impuestos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Multas de Impuestos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Gastos de Ejecución de Impuestos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Otros Impuestos </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Impuestos no comprendidos en las fracciones de la Ley de Ingresos causadas en ejercicios fiscales anteriores pendientes de liquidación o pago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0.00</w:t>
            </w:r>
          </w:p>
        </w:tc>
      </w:tr>
    </w:tbl>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6.- </w:t>
      </w:r>
      <w:r w:rsidRPr="002C3A74">
        <w:rPr>
          <w:rFonts w:cs="Arial"/>
          <w:szCs w:val="24"/>
        </w:rPr>
        <w:t>Los derechos que el municipio percibirá se causarán por los siguientes conceptos:</w:t>
      </w: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Derechos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$ 983,730.00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Derechos por el uso, goce, aprovechamiento o explotación de bienes de dominio público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72,600.00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Por el uso de locales o pisos de mercados, espacios en la vía o parques públicos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19,800.00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Por el uso y aprovechamiento de los bienes de dominio público del patrimonio municipal</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52,800.00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Derechos por prestación de servicios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$ 791,010.00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Servicios de Agua potable, drenaje y alcantarillado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$ 450,450.00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Servicio de Alumbrado público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Servicio de Limpia, Recolección, Traslado y disposición final de residuos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Servicio de Mercados y centrales de abasto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23,760.00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Servicio de Panteones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$ 198,000.00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Servicio de Rastro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59,400.00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lastRenderedPageBreak/>
              <w:t xml:space="preserve">&gt; Servicio de Seguridad pública (Policía Preventiva y Tránsito Municipal) </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Servicio de Catastro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59,400.00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Otros Derechos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$ 120,120.00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Licencias de funcionamiento y Permisos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92,400.00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Servicios que presta la Dirección de Obras Públicas y Desarrollo Urbano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Expedición de certificados, constancias, copias, fotografías y formas oficiales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7,920.00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Servicios que presta la Unidad de Acceso a la Información Pública</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19,800.00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Servicio de Supervisión Sanitaria de Matanza de Ganado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Accesorios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Actualizaciones y Recargos de Derechos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Multas de Derechos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Gastos de Ejecución de Derechos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Derechos no comprendidos en las fracciones de la Ley de Ingresos causadas en ejercicios fiscales anteriores pendientes de liquidación o pago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0.00</w:t>
            </w:r>
          </w:p>
        </w:tc>
      </w:tr>
    </w:tbl>
    <w:p w:rsidR="00CB246A"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7.- </w:t>
      </w:r>
      <w:r w:rsidRPr="002C3A74">
        <w:rPr>
          <w:rFonts w:cs="Arial"/>
          <w:szCs w:val="24"/>
        </w:rPr>
        <w:t>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Contribuciones de mejoras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rPr>
            </w:pPr>
            <w:r w:rsidRPr="002C3A74">
              <w:rPr>
                <w:rFonts w:cs="Arial"/>
                <w:szCs w:val="24"/>
                <w:lang w:val="es-MX"/>
              </w:rPr>
              <w:t>$                  -</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Contribución de mejoras por obras públicas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rPr>
            </w:pPr>
            <w:r w:rsidRPr="002C3A74">
              <w:rPr>
                <w:rFonts w:cs="Arial"/>
                <w:szCs w:val="24"/>
                <w:lang w:val="es-MX"/>
              </w:rPr>
              <w:t>$                  -</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Contribuciones de mejoras por obras públicas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rPr>
            </w:pPr>
            <w:r w:rsidRPr="002C3A74">
              <w:rPr>
                <w:rFonts w:cs="Arial"/>
                <w:szCs w:val="24"/>
                <w:lang w:val="es-MX"/>
              </w:rPr>
              <w:t>$                  -</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Contribuciones de mejoras por servicios públicos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lang w:val="es-MX"/>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Contribuciones de Mejoras no comprendidas en las fracciones de la Ley de Ingresos causadas en ejercicios fiscales anteriores pendientes de liquidación o pago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0.00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8.- </w:t>
      </w:r>
      <w:r w:rsidRPr="002C3A74">
        <w:rPr>
          <w:rFonts w:cs="Arial"/>
          <w:szCs w:val="24"/>
        </w:rPr>
        <w:t>Los ingresos que la Hacienda Pública Municipal percibirá por concepto de productos, serán las siguientes:</w:t>
      </w: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Productos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rPr>
            </w:pPr>
            <w:r w:rsidRPr="002C3A74">
              <w:rPr>
                <w:rFonts w:cs="Arial"/>
                <w:szCs w:val="24"/>
                <w:lang w:val="es-MX"/>
              </w:rPr>
              <w:t>$   19,800.00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Productos de tipo corriente</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rPr>
            </w:pPr>
            <w:r w:rsidRPr="002C3A74">
              <w:rPr>
                <w:rFonts w:cs="Arial"/>
                <w:szCs w:val="24"/>
                <w:lang w:val="es-MX"/>
              </w:rPr>
              <w:t>$   19,800.00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&gt;Derivados de Productos Financieros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rPr>
            </w:pPr>
            <w:r w:rsidRPr="002C3A74">
              <w:rPr>
                <w:rFonts w:cs="Arial"/>
                <w:szCs w:val="24"/>
                <w:lang w:val="es-MX"/>
              </w:rPr>
              <w:t>$   19,800.00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Productos de capital</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lastRenderedPageBreak/>
              <w:t>&gt; Arrendamiento, enajenación, uso y explotación de bienes muebles del dominio privado del Municipio</w:t>
            </w:r>
          </w:p>
        </w:tc>
        <w:tc>
          <w:tcPr>
            <w:tcW w:w="3021" w:type="dxa"/>
          </w:tcPr>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Arrendamiento, enajenación, uso y explotación de bienes Inmuebles del dominio privado del Municipio.</w:t>
            </w:r>
          </w:p>
        </w:tc>
        <w:tc>
          <w:tcPr>
            <w:tcW w:w="3021" w:type="dxa"/>
          </w:tcPr>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Productos no comprendidos en las fracciones de la Ley de Ingresos causadas en ejercicios fiscales anteriores pendientes de liquidación o pago </w:t>
            </w:r>
          </w:p>
        </w:tc>
        <w:tc>
          <w:tcPr>
            <w:tcW w:w="3021" w:type="dxa"/>
          </w:tcPr>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Otros Productos</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9.- </w:t>
      </w:r>
      <w:r w:rsidRPr="002C3A74">
        <w:rPr>
          <w:rFonts w:cs="Arial"/>
          <w:szCs w:val="24"/>
        </w:rPr>
        <w:t>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Aprovechamientos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$ 118,800.00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Aprovechamientos de tipo corriente</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$ 118,800.00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Infracciones por faltas administrativas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79,200.00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Sanciones por faltas al reglamento de tránsito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39,600.00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Cesiones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Herencias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Legados</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Donaciones</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Adjudicaciones Judiciales</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Adjudicaciones administrativas</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Subsidios de otro nivel de gobierno</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Subsidios de organismos públicos y privados</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Multas impuestas por autoridades federales, no fiscales</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Convenidos con la Federación y el Estado (Zofemat, Capufe, entre otros)</w:t>
            </w:r>
          </w:p>
        </w:tc>
        <w:tc>
          <w:tcPr>
            <w:tcW w:w="3021" w:type="dxa"/>
          </w:tcPr>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Aprovechamientos diversos de tipo corriente</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Aprovechamientos de capital</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Aprovechamientos no comprendidos en las fracciones de la Ley de Ingresos causadas en ejercicios fiscales anteriores pendientes de liquidación o pago</w:t>
            </w:r>
          </w:p>
        </w:tc>
        <w:tc>
          <w:tcPr>
            <w:tcW w:w="3021" w:type="dxa"/>
          </w:tcPr>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bl>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10.- </w:t>
      </w:r>
      <w:r w:rsidRPr="002C3A74">
        <w:rPr>
          <w:rFonts w:cs="Arial"/>
          <w:szCs w:val="24"/>
        </w:rPr>
        <w:t>Los ingresos por Participaciones que percibirá la Hacienda Pública Municipal se integrarán por los siguientes conceptos:</w:t>
      </w: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Participaciones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$14,158,929.00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Participaciones Federales y Estatales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$14,158,929.00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lastRenderedPageBreak/>
        <w:t xml:space="preserve">Artículo 11.- </w:t>
      </w:r>
      <w:r w:rsidRPr="002C3A74">
        <w:rPr>
          <w:rFonts w:cs="Arial"/>
          <w:szCs w:val="24"/>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Aportaciones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$10,410,971.00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&gt;Fondo de Aportaciones para la Infraestructura Social Municipal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  7,560,852.00</w:t>
            </w:r>
            <w:proofErr w:type="gramEnd"/>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&gt;Fondo de Aportaciones para el Fortalecimiento Municipal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  2,850,119.00</w:t>
            </w:r>
            <w:proofErr w:type="gramEnd"/>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12.- </w:t>
      </w:r>
      <w:r w:rsidRPr="002C3A74">
        <w:rPr>
          <w:rFonts w:cs="Arial"/>
          <w:szCs w:val="24"/>
        </w:rPr>
        <w:t>Los ingresos extraordinarios que podrá percibir la Hacienda Pública Municipal serán los siguientes:</w:t>
      </w: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Ingresos por ventas de bienes y servicios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Ingresos por ventas de bienes y servicios de organismos descentralizados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Ingresos de operación de entidades paraestatales empresariales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Ingresos por ventas de bienes y servicios producidos en establecimientos del Gobierno Central </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Transferencias, Asignaciones, Subsidios y Otras Ayudas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$ 462,000.00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Transferencias Internas y Asignaciones del Sector Público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rPr>
            </w:pPr>
            <w:r w:rsidRPr="002C3A74">
              <w:rPr>
                <w:rFonts w:cs="Arial"/>
                <w:szCs w:val="24"/>
                <w:lang w:val="es-MX"/>
              </w:rPr>
              <w:t>$ 462,000.00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&gt; </w:t>
            </w:r>
            <w:r w:rsidRPr="002C3A74">
              <w:rPr>
                <w:rFonts w:cs="Arial"/>
                <w:szCs w:val="24"/>
                <w:lang w:val="es-MX"/>
              </w:rPr>
              <w:t>Las recibidas por conceptos diversos a participaciones, aportaciones o aprovechamientos</w:t>
            </w:r>
          </w:p>
        </w:tc>
        <w:tc>
          <w:tcPr>
            <w:tcW w:w="3021" w:type="dxa"/>
          </w:tcPr>
          <w:p w:rsidR="00CB246A" w:rsidRPr="002C3A74" w:rsidRDefault="00CB246A" w:rsidP="00642803">
            <w:pPr>
              <w:spacing w:line="276" w:lineRule="auto"/>
              <w:contextualSpacing/>
              <w:jc w:val="right"/>
              <w:rPr>
                <w:rFonts w:cs="Arial"/>
                <w:szCs w:val="24"/>
                <w:lang w:val="es-MX"/>
              </w:rPr>
            </w:pPr>
          </w:p>
          <w:p w:rsidR="00CB246A" w:rsidRPr="002C3A74" w:rsidRDefault="00CB246A" w:rsidP="00642803">
            <w:pPr>
              <w:spacing w:line="276" w:lineRule="auto"/>
              <w:contextualSpacing/>
              <w:jc w:val="right"/>
              <w:rPr>
                <w:rFonts w:cs="Arial"/>
                <w:szCs w:val="24"/>
              </w:rPr>
            </w:pPr>
            <w:r w:rsidRPr="002C3A74">
              <w:rPr>
                <w:rFonts w:cs="Arial"/>
                <w:szCs w:val="24"/>
                <w:lang w:val="es-MX"/>
              </w:rPr>
              <w:t>$ 462,000.00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Transferencias del Sector Público</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Subsidios y Subvenciones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Ayudas sociales</w:t>
            </w:r>
          </w:p>
        </w:tc>
        <w:tc>
          <w:tcPr>
            <w:tcW w:w="3021"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Transferencias de Fideicomisos, mandatos y análogos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Convenios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$38,500,000.00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&gt; Con la Federación o el Estado: Hábitat, Tu Casa, 3x1 migrantes, Rescate de Espacios Públicos, Subsemun, entre otros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$38,500,000.00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p>
        </w:tc>
        <w:tc>
          <w:tcPr>
            <w:tcW w:w="3021" w:type="dxa"/>
          </w:tcPr>
          <w:p w:rsidR="00CB246A" w:rsidRPr="002C3A74" w:rsidRDefault="00CB246A" w:rsidP="00642803">
            <w:pPr>
              <w:autoSpaceDE w:val="0"/>
              <w:autoSpaceDN w:val="0"/>
              <w:adjustRightInd w:val="0"/>
              <w:spacing w:line="276" w:lineRule="auto"/>
              <w:contextualSpacing/>
              <w:jc w:val="both"/>
              <w:rPr>
                <w:rFonts w:cs="Arial"/>
                <w:szCs w:val="24"/>
                <w:lang w:val="es-MX"/>
              </w:rPr>
            </w:pP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00 TOTAL DE INGRESOS QUE EL MUNICIPIO DE CENOTILLO, YUCATÁN PERCIBIRÁ DURANTE EL EJERCICIO FISCAL 2019, ASCENDERÁ A</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b/>
                <w:szCs w:val="24"/>
                <w:lang w:val="es-MX"/>
              </w:rPr>
            </w:pPr>
            <w:r w:rsidRPr="002C3A74">
              <w:rPr>
                <w:rFonts w:cs="Arial"/>
                <w:b/>
                <w:szCs w:val="24"/>
                <w:lang w:val="es-MX"/>
              </w:rPr>
              <w:t>$65,174,750.00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TÍTULO SEGUNDO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IMPUESTOS</w:t>
      </w:r>
    </w:p>
    <w:p w:rsidR="00CB246A" w:rsidRPr="002C3A74" w:rsidRDefault="00CB246A"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Impuesto Predial</w:t>
      </w:r>
    </w:p>
    <w:p w:rsidR="00CB246A" w:rsidRPr="002C3A74" w:rsidRDefault="00CB246A"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13.- </w:t>
      </w:r>
      <w:r w:rsidRPr="002C3A74">
        <w:rPr>
          <w:rFonts w:cs="Arial"/>
          <w:szCs w:val="24"/>
        </w:rPr>
        <w:t>El impuesto predial se causará de acuerdo con la siguiente tarifa:</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Por predios urbanos y rústicos con o sin construcción.</w:t>
      </w:r>
    </w:p>
    <w:tbl>
      <w:tblPr>
        <w:tblStyle w:val="Tablaconcuadrcula"/>
        <w:tblW w:w="0" w:type="auto"/>
        <w:tblLook w:val="04A0" w:firstRow="1" w:lastRow="0" w:firstColumn="1" w:lastColumn="0" w:noHBand="0" w:noVBand="1"/>
      </w:tblPr>
      <w:tblGrid>
        <w:gridCol w:w="1696"/>
        <w:gridCol w:w="1701"/>
        <w:gridCol w:w="3828"/>
        <w:gridCol w:w="1603"/>
      </w:tblGrid>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Límite inferior</w:t>
            </w:r>
          </w:p>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del</w:t>
            </w:r>
          </w:p>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valor catastral</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Límite superior</w:t>
            </w:r>
          </w:p>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del</w:t>
            </w:r>
          </w:p>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Valor catastral</w:t>
            </w:r>
          </w:p>
          <w:p w:rsidR="00CB246A" w:rsidRPr="002C3A74" w:rsidRDefault="00CB246A" w:rsidP="00642803">
            <w:pPr>
              <w:autoSpaceDE w:val="0"/>
              <w:autoSpaceDN w:val="0"/>
              <w:adjustRightInd w:val="0"/>
              <w:spacing w:line="276" w:lineRule="auto"/>
              <w:contextualSpacing/>
              <w:jc w:val="center"/>
              <w:rPr>
                <w:rFonts w:cs="Arial"/>
                <w:szCs w:val="24"/>
                <w:lang w:val="es-MX"/>
              </w:rPr>
            </w:pPr>
          </w:p>
        </w:tc>
        <w:tc>
          <w:tcPr>
            <w:tcW w:w="3828"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Tasa</w:t>
            </w:r>
          </w:p>
        </w:tc>
        <w:tc>
          <w:tcPr>
            <w:tcW w:w="1603"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Factor para aplicar al excedente del límite inferior</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2,000.00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100% de 1.06 Unidades de medida y actualización (UMA) vigente</w:t>
            </w:r>
          </w:p>
        </w:tc>
        <w:tc>
          <w:tcPr>
            <w:tcW w:w="1603"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2,000.01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4,000.00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120% de 1.06 Unidades de medida y actualización (UMA) vigente </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4,000.01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6,000.00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140% de 1.06 Unidades de medida y actualización (UMA) vigente</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6,000.01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8,000.00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160% de 1.06 Unidades de medida y actualización (UMA) vigente</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8,000.01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10,000.00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180% de 1.06 Unidades de medida y actualización (UMA) vigente</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10,000.01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15,000.00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200% de 1.06 Unidades de medida y actualización (UMA) vigente </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15,000.01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20,000.00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220% de 1.06 Unidades de medida y actualización (UMA) vigente</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20,000.01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30,000.00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300% de 1.06 Unidades de medida y </w:t>
            </w:r>
            <w:proofErr w:type="gramStart"/>
            <w:r w:rsidRPr="002C3A74">
              <w:rPr>
                <w:rFonts w:cs="Arial"/>
                <w:szCs w:val="24"/>
                <w:lang w:val="es-MX"/>
              </w:rPr>
              <w:t>actualización(</w:t>
            </w:r>
            <w:proofErr w:type="gramEnd"/>
            <w:r w:rsidRPr="002C3A74">
              <w:rPr>
                <w:rFonts w:cs="Arial"/>
                <w:szCs w:val="24"/>
                <w:lang w:val="es-MX"/>
              </w:rPr>
              <w:t>UMA) vigente</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30,000.01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40,000.00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360% de 1.06 Unidades de medida y actualización (UMA) vigente </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lastRenderedPageBreak/>
              <w:t>40,000.01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50,000.00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400% de 1.06 Unidades de medida y actualización (UMA) vigente</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50,000.01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100,000.00</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600% de 1.06 Unidades de medida y actualización (UMA) vigente</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r w:rsidR="00CB246A" w:rsidRPr="002C3A74" w:rsidTr="00642803">
        <w:tc>
          <w:tcPr>
            <w:tcW w:w="1696"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100,000.01</w:t>
            </w:r>
          </w:p>
        </w:tc>
        <w:tc>
          <w:tcPr>
            <w:tcW w:w="1701"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En adelante</w:t>
            </w:r>
          </w:p>
        </w:tc>
        <w:tc>
          <w:tcPr>
            <w:tcW w:w="3828"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900% de 1.06 Unidades de medida y actualización (UMA) vigente</w:t>
            </w:r>
          </w:p>
        </w:tc>
        <w:tc>
          <w:tcPr>
            <w:tcW w:w="1603" w:type="dxa"/>
          </w:tcPr>
          <w:p w:rsidR="00CB246A" w:rsidRPr="002C3A74" w:rsidRDefault="00CB246A" w:rsidP="00642803">
            <w:pPr>
              <w:spacing w:line="276" w:lineRule="auto"/>
              <w:contextualSpacing/>
              <w:jc w:val="right"/>
              <w:rPr>
                <w:rFonts w:cs="Arial"/>
                <w:szCs w:val="24"/>
              </w:rPr>
            </w:pPr>
            <w:r w:rsidRPr="002C3A74">
              <w:rPr>
                <w:rFonts w:cs="Arial"/>
                <w:szCs w:val="24"/>
                <w:lang w:val="es-MX"/>
              </w:rPr>
              <w:t>0</w:t>
            </w:r>
          </w:p>
        </w:tc>
      </w:tr>
    </w:tbl>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Impuesto predial rústico $ 4.00 por hectárea</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A la cantidad que exceda del límite inferior le será aplicado el factor determinado en esta tarifa y el resultado se incrementará con la cuota fija anual respectiva.</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Todo predio destinado a la producción agropecuaria pagará 10 al millar anual sobre el valor registrado o catastral, sin que la cantidad a pagar resultante exceda a lo establecido por la legislación agraria federal para terrenos ejidales.</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szCs w:val="24"/>
        </w:rPr>
        <w:t>Los pagos de este impuesto que correspondan a ejercicios anteriores predial o rustico, tendrán un recargo de acuerdo a lo siguiente:</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 </w:t>
      </w:r>
      <w:r w:rsidRPr="002C3A74">
        <w:rPr>
          <w:rFonts w:cs="Arial"/>
          <w:szCs w:val="24"/>
        </w:rPr>
        <w:t>Para contribuciones del ejercicio 2015 se le aplicará una tasa del 25%</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b) </w:t>
      </w:r>
      <w:r w:rsidRPr="002C3A74">
        <w:rPr>
          <w:rFonts w:cs="Arial"/>
          <w:szCs w:val="24"/>
        </w:rPr>
        <w:t>Para contribuciones del ejercicio 2016 se le aplicará una tasa del 20%</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c) </w:t>
      </w:r>
      <w:r w:rsidRPr="002C3A74">
        <w:rPr>
          <w:rFonts w:cs="Arial"/>
          <w:szCs w:val="24"/>
        </w:rPr>
        <w:t>Para contribuciones del ejercicio 2017 se le aplicará una tasa del 16%</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d) </w:t>
      </w:r>
      <w:r w:rsidRPr="002C3A74">
        <w:rPr>
          <w:rFonts w:cs="Arial"/>
          <w:szCs w:val="24"/>
        </w:rPr>
        <w:t>Para contribuciones del ejercicio 2018 se le aplicará una tasa del 13%</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e) Para contribuciones del ejercicio 2019 se le aplicará una tasa del 10%</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14.- </w:t>
      </w:r>
      <w:r w:rsidRPr="002C3A74">
        <w:rPr>
          <w:rFonts w:cs="Arial"/>
          <w:szCs w:val="24"/>
        </w:rPr>
        <w:t>Para efectos de lo dispuesto en la Ley General de Hacienda para los municipios del Estado de Yucatán, cuando se pague el impuesto durante el mes de enero del año 2020, el contribuyente gozará de un descuento del 15% anual, cuando se pague el impuesto durante el mes de febrero de citado año, el contribuyente gozará de un descuento del 10% anual, cuando se pague el impuesto durante el mes de marzo del año citado, el contribuyente gozará de un descuento del 5% anual.</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Los propietarios de predios urbanos que presenten la credencial expedida por el Instituto</w:t>
      </w:r>
      <w:r>
        <w:rPr>
          <w:rFonts w:cs="Arial"/>
          <w:szCs w:val="24"/>
        </w:rPr>
        <w:t xml:space="preserve"> </w:t>
      </w:r>
      <w:r w:rsidRPr="002C3A74">
        <w:rPr>
          <w:rFonts w:cs="Arial"/>
          <w:szCs w:val="24"/>
        </w:rPr>
        <w:t>Nacional de las Personas Adultas Mayores, se le harán el descuento de 50%.</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lastRenderedPageBreak/>
        <w:t>CAPÍTULO ll</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Impuesto Sobre Adquisición de Inmuebles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15.- </w:t>
      </w:r>
      <w:r w:rsidRPr="002C3A74">
        <w:rPr>
          <w:rFonts w:cs="Arial"/>
          <w:szCs w:val="24"/>
        </w:rPr>
        <w:t>El impuesto a que se refiere este capítulo, se calculará aplicando la tasa del 2 % a la base gravable señalada en la Ley General de Hacienda para los municipios del Estado de Yucatán.</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lll</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Impuesto sobre Espectáculos y Diversiones Públicas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16.- </w:t>
      </w:r>
      <w:r w:rsidRPr="002C3A74">
        <w:rPr>
          <w:rFonts w:cs="Arial"/>
          <w:szCs w:val="24"/>
        </w:rPr>
        <w:t>La cuota del impuesto a espectáculos y diversiones públicas se calculará sobre el monto total de los ingresos percibidos.</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El impuesto se determinará aplicando a la base antes referida, la tasa que para cada evento se establece a continuación: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l.- </w:t>
            </w:r>
            <w:r w:rsidRPr="002C3A74">
              <w:rPr>
                <w:rFonts w:cs="Arial"/>
                <w:szCs w:val="24"/>
                <w:lang w:val="es-MX"/>
              </w:rPr>
              <w:t>Funciones de circo</w:t>
            </w:r>
          </w:p>
        </w:tc>
        <w:tc>
          <w:tcPr>
            <w:tcW w:w="302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10%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proofErr w:type="gramStart"/>
            <w:r w:rsidRPr="002C3A74">
              <w:rPr>
                <w:rFonts w:cs="Arial"/>
                <w:b/>
                <w:bCs/>
                <w:szCs w:val="24"/>
                <w:lang w:val="es-MX"/>
              </w:rPr>
              <w:t>ll.-</w:t>
            </w:r>
            <w:proofErr w:type="gramEnd"/>
            <w:r w:rsidRPr="002C3A74">
              <w:rPr>
                <w:rFonts w:cs="Arial"/>
                <w:b/>
                <w:bCs/>
                <w:szCs w:val="24"/>
                <w:lang w:val="es-MX"/>
              </w:rPr>
              <w:t xml:space="preserve"> </w:t>
            </w:r>
            <w:r w:rsidRPr="002C3A74">
              <w:rPr>
                <w:rFonts w:cs="Arial"/>
                <w:szCs w:val="24"/>
                <w:lang w:val="es-MX"/>
              </w:rPr>
              <w:t>Otros permitidos por la Ley de la Materia</w:t>
            </w:r>
          </w:p>
        </w:tc>
        <w:tc>
          <w:tcPr>
            <w:tcW w:w="302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10%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p>
        </w:tc>
        <w:tc>
          <w:tcPr>
            <w:tcW w:w="3021" w:type="dxa"/>
          </w:tcPr>
          <w:p w:rsidR="00CB246A" w:rsidRPr="002C3A74" w:rsidRDefault="00CB246A" w:rsidP="00642803">
            <w:pPr>
              <w:autoSpaceDE w:val="0"/>
              <w:autoSpaceDN w:val="0"/>
              <w:adjustRightInd w:val="0"/>
              <w:spacing w:line="276" w:lineRule="auto"/>
              <w:contextualSpacing/>
              <w:jc w:val="both"/>
              <w:rPr>
                <w:rFonts w:cs="Arial"/>
                <w:szCs w:val="24"/>
                <w:lang w:val="es-MX"/>
              </w:rPr>
            </w:pPr>
          </w:p>
        </w:tc>
      </w:tr>
    </w:tbl>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Cuando se trate de funciones de teatro, ballet, ópera y otros eventos culturales no se causará impuesto alguno.</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TÍTULO TERCERO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w:t>
      </w:r>
    </w:p>
    <w:p w:rsidR="00CB246A" w:rsidRPr="002C3A74" w:rsidRDefault="00CB246A"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l</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Licencias y Permisos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17.- </w:t>
      </w:r>
      <w:r w:rsidRPr="002C3A74">
        <w:rPr>
          <w:rFonts w:cs="Arial"/>
          <w:szCs w:val="24"/>
        </w:rPr>
        <w:t>Por el otorgamiento de las licencias o permisos a que hace referencia la Ley General de Hacienda para los municipios del Estado de Yucatán, se causarán y pagarán derechos de conformidad con las tarifas establecidas en los siguientes artículos.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18.- </w:t>
      </w:r>
      <w:r w:rsidRPr="002C3A74">
        <w:rPr>
          <w:rFonts w:cs="Arial"/>
          <w:szCs w:val="24"/>
        </w:rPr>
        <w:t>En el otorgamiento de las licencias para el funcionamiento de giros relacionados con la venta de bebidas alcohólicas se cobrará una cuota de acuerdo a la siguiente tarifa: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454"/>
      </w:tblGrid>
      <w:tr w:rsidR="00CB246A" w:rsidRPr="002C3A74" w:rsidTr="00642803">
        <w:tc>
          <w:tcPr>
            <w:tcW w:w="6374"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Vinaterías o licorerías</w:t>
            </w:r>
          </w:p>
        </w:tc>
        <w:tc>
          <w:tcPr>
            <w:tcW w:w="2454"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$ 110,000.00</w:t>
            </w:r>
          </w:p>
        </w:tc>
      </w:tr>
      <w:tr w:rsidR="00CB246A" w:rsidRPr="002C3A74" w:rsidTr="00642803">
        <w:tc>
          <w:tcPr>
            <w:tcW w:w="6374"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Expendios de cerveza</w:t>
            </w:r>
          </w:p>
        </w:tc>
        <w:tc>
          <w:tcPr>
            <w:tcW w:w="2454"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$ 110,000.00</w:t>
            </w:r>
          </w:p>
        </w:tc>
      </w:tr>
      <w:tr w:rsidR="00CB246A" w:rsidRPr="002C3A74" w:rsidTr="00642803">
        <w:tc>
          <w:tcPr>
            <w:tcW w:w="6374"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III.- </w:t>
            </w:r>
            <w:r w:rsidRPr="002C3A74">
              <w:rPr>
                <w:rFonts w:cs="Arial"/>
                <w:bCs/>
                <w:szCs w:val="24"/>
                <w:lang w:val="es-MX"/>
              </w:rPr>
              <w:t>Supermercados o m</w:t>
            </w:r>
            <w:r w:rsidRPr="002C3A74">
              <w:rPr>
                <w:rFonts w:cs="Arial"/>
                <w:szCs w:val="24"/>
                <w:lang w:val="es-MX"/>
              </w:rPr>
              <w:t>ini súper con departamentos de licores o cervezas</w:t>
            </w:r>
          </w:p>
        </w:tc>
        <w:tc>
          <w:tcPr>
            <w:tcW w:w="2454"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$ 110,000.00</w:t>
            </w:r>
          </w:p>
        </w:tc>
      </w:tr>
    </w:tbl>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lastRenderedPageBreak/>
        <w:t xml:space="preserve">Artículo 19.- </w:t>
      </w:r>
      <w:r w:rsidRPr="002C3A74">
        <w:rPr>
          <w:rFonts w:cs="Arial"/>
          <w:szCs w:val="24"/>
        </w:rPr>
        <w:t>Por los permisos eventuales para el funcionamiento de giros relacionados con la venta de bebidas alcohólicas se les aplicará la cuota de $</w:t>
      </w:r>
      <w:r>
        <w:rPr>
          <w:rFonts w:cs="Arial"/>
          <w:szCs w:val="24"/>
        </w:rPr>
        <w:t xml:space="preserve"> 70</w:t>
      </w:r>
      <w:r w:rsidRPr="002C3A74">
        <w:rPr>
          <w:rFonts w:cs="Arial"/>
          <w:szCs w:val="24"/>
        </w:rPr>
        <w:t>0.00 diarios.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20.- </w:t>
      </w:r>
      <w:r w:rsidRPr="002C3A74">
        <w:rPr>
          <w:rFonts w:cs="Arial"/>
          <w:szCs w:val="24"/>
        </w:rPr>
        <w:t>Para el otorgamiento de licencias de funcionamiento de giros relacionados con la prestación de servicios que incluyan el expendio de bebidas alcohólicas se aplicará la tarifa que se relaciona a continuación:</w:t>
      </w:r>
    </w:p>
    <w:p w:rsidR="00CB246A" w:rsidRPr="002C3A74" w:rsidRDefault="00CB246A" w:rsidP="00CB246A">
      <w:pPr>
        <w:autoSpaceDE w:val="0"/>
        <w:autoSpaceDN w:val="0"/>
        <w:adjustRightInd w:val="0"/>
        <w:spacing w:line="276" w:lineRule="auto"/>
        <w:contextualSpacing/>
        <w:jc w:val="both"/>
        <w:rPr>
          <w:rFonts w:cs="Arial"/>
          <w:szCs w:val="24"/>
        </w:rPr>
      </w:pPr>
      <w:r>
        <w:rPr>
          <w:rFonts w:cs="Arial"/>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454"/>
      </w:tblGrid>
      <w:tr w:rsidR="00CB246A" w:rsidRPr="002C3A74" w:rsidTr="00642803">
        <w:tc>
          <w:tcPr>
            <w:tcW w:w="6374"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Cantinas o bares</w:t>
            </w:r>
          </w:p>
        </w:tc>
        <w:tc>
          <w:tcPr>
            <w:tcW w:w="2454"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$ 110,000.00</w:t>
            </w:r>
          </w:p>
        </w:tc>
      </w:tr>
      <w:tr w:rsidR="00CB246A" w:rsidRPr="002C3A74" w:rsidTr="00642803">
        <w:tc>
          <w:tcPr>
            <w:tcW w:w="6374"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Restaurante-bar</w:t>
            </w:r>
          </w:p>
        </w:tc>
        <w:tc>
          <w:tcPr>
            <w:tcW w:w="2454"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$ 110,000.00</w:t>
            </w:r>
          </w:p>
        </w:tc>
      </w:tr>
      <w:tr w:rsidR="00CB246A" w:rsidRPr="002C3A74" w:rsidTr="00642803">
        <w:tc>
          <w:tcPr>
            <w:tcW w:w="6374"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III.- </w:t>
            </w:r>
            <w:r w:rsidRPr="002C3A74">
              <w:rPr>
                <w:rFonts w:cs="Arial"/>
                <w:szCs w:val="24"/>
                <w:lang w:val="es-MX"/>
              </w:rPr>
              <w:t>Supermercados y mini súper con departamentos de licores o cervezas</w:t>
            </w:r>
          </w:p>
        </w:tc>
        <w:tc>
          <w:tcPr>
            <w:tcW w:w="2454"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$ 110,000.00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21.- </w:t>
      </w:r>
      <w:r w:rsidRPr="002C3A74">
        <w:rPr>
          <w:rFonts w:cs="Arial"/>
          <w:szCs w:val="24"/>
        </w:rPr>
        <w:t>Por el otorgamiento de la revalidación anual de licencias para el funcionamiento de los establecimientos que se relacionan en los artículos 18 y 20 de esta Ley, se pagará un derecho conforme a la siguiente tarifa:</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Vinaterías o licorerías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Pr>
                <w:rFonts w:cs="Arial"/>
                <w:szCs w:val="24"/>
                <w:lang w:val="es-MX"/>
              </w:rPr>
              <w:t>$     90</w:t>
            </w:r>
            <w:r w:rsidRPr="002C3A74">
              <w:rPr>
                <w:rFonts w:cs="Arial"/>
                <w:szCs w:val="24"/>
                <w:lang w:val="es-MX"/>
              </w:rPr>
              <w:t>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III.- </w:t>
            </w:r>
            <w:r w:rsidRPr="002C3A74">
              <w:rPr>
                <w:rFonts w:cs="Arial"/>
                <w:szCs w:val="24"/>
                <w:lang w:val="es-MX"/>
              </w:rPr>
              <w:t>Expendios de cerveza</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Pr>
                <w:rFonts w:cs="Arial"/>
                <w:szCs w:val="24"/>
                <w:lang w:val="es-MX"/>
              </w:rPr>
              <w:t>$     90</w:t>
            </w:r>
            <w:r w:rsidRPr="002C3A74">
              <w:rPr>
                <w:rFonts w:cs="Arial"/>
                <w:szCs w:val="24"/>
                <w:lang w:val="es-MX"/>
              </w:rPr>
              <w:t>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IV.- </w:t>
            </w:r>
            <w:r w:rsidRPr="002C3A74">
              <w:rPr>
                <w:rFonts w:cs="Arial"/>
                <w:szCs w:val="24"/>
                <w:lang w:val="es-MX"/>
              </w:rPr>
              <w:t>Supermercados y minisúper con departamento de licores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Pr>
                <w:rFonts w:cs="Arial"/>
                <w:szCs w:val="24"/>
                <w:lang w:val="es-MX"/>
              </w:rPr>
              <w:t>$ 1, 90</w:t>
            </w:r>
            <w:r w:rsidRPr="002C3A74">
              <w:rPr>
                <w:rFonts w:cs="Arial"/>
                <w:szCs w:val="24"/>
                <w:lang w:val="es-MX"/>
              </w:rPr>
              <w:t>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V.- </w:t>
            </w:r>
            <w:r w:rsidRPr="002C3A74">
              <w:rPr>
                <w:rFonts w:cs="Arial"/>
                <w:szCs w:val="24"/>
                <w:lang w:val="es-MX"/>
              </w:rPr>
              <w:t>Cantinas o bares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Pr>
                <w:rFonts w:cs="Arial"/>
                <w:szCs w:val="24"/>
                <w:lang w:val="es-MX"/>
              </w:rPr>
              <w:t>$     90</w:t>
            </w:r>
            <w:r w:rsidRPr="002C3A74">
              <w:rPr>
                <w:rFonts w:cs="Arial"/>
                <w:szCs w:val="24"/>
                <w:lang w:val="es-MX"/>
              </w:rPr>
              <w:t>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VI.- </w:t>
            </w:r>
            <w:r w:rsidRPr="002C3A74">
              <w:rPr>
                <w:rFonts w:cs="Arial"/>
                <w:szCs w:val="24"/>
                <w:lang w:val="es-MX"/>
              </w:rPr>
              <w:t>Restaurante-bar</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90</w:t>
            </w:r>
            <w:r w:rsidRPr="002C3A74">
              <w:rPr>
                <w:rFonts w:cs="Arial"/>
                <w:szCs w:val="24"/>
                <w:lang w:val="es-MX"/>
              </w:rPr>
              <w:t>0.00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22.- </w:t>
      </w:r>
      <w:r w:rsidRPr="002C3A74">
        <w:rPr>
          <w:rFonts w:cs="Arial"/>
          <w:szCs w:val="24"/>
        </w:rPr>
        <w:t>Por el otorgamiento de los permisos a que hace referencia la Ley General de Hacienda para los municipios del Estado de Yucatán, se causarán y pagarán derechos de acuerdo con las siguientes tarifas:</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713"/>
        <w:gridCol w:w="1631"/>
        <w:gridCol w:w="1484"/>
      </w:tblGrid>
      <w:tr w:rsidR="00CB246A" w:rsidRPr="002C3A74" w:rsidTr="00642803">
        <w:tc>
          <w:tcPr>
            <w:tcW w:w="5715"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 xml:space="preserve">Por cada permiso de construcción para superficie de hasta 45 metros cuadrados </w:t>
            </w:r>
          </w:p>
        </w:tc>
        <w:tc>
          <w:tcPr>
            <w:tcW w:w="163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0.06 Veces la Unidad de Medida y Actualización vigente</w:t>
            </w:r>
          </w:p>
        </w:tc>
        <w:tc>
          <w:tcPr>
            <w:tcW w:w="1484"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M²</w:t>
            </w:r>
          </w:p>
        </w:tc>
      </w:tr>
      <w:tr w:rsidR="00CB246A" w:rsidRPr="002C3A74" w:rsidTr="00642803">
        <w:tc>
          <w:tcPr>
            <w:tcW w:w="5715"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Por cada permiso de construcción para superficie mayor de 45 metros cuadrados y hasta 120 metros cuadrados</w:t>
            </w:r>
          </w:p>
        </w:tc>
        <w:tc>
          <w:tcPr>
            <w:tcW w:w="163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0.08 Veces la Unidad de Medida y Actualización vigente</w:t>
            </w:r>
          </w:p>
        </w:tc>
        <w:tc>
          <w:tcPr>
            <w:tcW w:w="1484" w:type="dxa"/>
          </w:tcPr>
          <w:p w:rsidR="00CB246A" w:rsidRPr="002C3A74" w:rsidRDefault="00CB246A" w:rsidP="00642803">
            <w:pPr>
              <w:autoSpaceDE w:val="0"/>
              <w:autoSpaceDN w:val="0"/>
              <w:adjustRightInd w:val="0"/>
              <w:spacing w:line="276" w:lineRule="auto"/>
              <w:contextualSpacing/>
              <w:jc w:val="center"/>
              <w:rPr>
                <w:rFonts w:cs="Arial"/>
                <w:szCs w:val="24"/>
                <w:lang w:val="es-MX"/>
              </w:rPr>
            </w:pPr>
            <w:r w:rsidRPr="002C3A74">
              <w:rPr>
                <w:rFonts w:cs="Arial"/>
                <w:szCs w:val="24"/>
                <w:lang w:val="es-MX"/>
              </w:rPr>
              <w:t>M²</w:t>
            </w:r>
          </w:p>
        </w:tc>
      </w:tr>
      <w:tr w:rsidR="00CB246A" w:rsidRPr="002C3A74" w:rsidTr="00642803">
        <w:tc>
          <w:tcPr>
            <w:tcW w:w="5715"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III.- </w:t>
            </w:r>
            <w:r w:rsidRPr="002C3A74">
              <w:rPr>
                <w:rFonts w:cs="Arial"/>
                <w:szCs w:val="24"/>
                <w:lang w:val="es-MX"/>
              </w:rPr>
              <w:t xml:space="preserve">Por cada permiso de construcción para </w:t>
            </w:r>
            <w:proofErr w:type="gramStart"/>
            <w:r w:rsidRPr="002C3A74">
              <w:rPr>
                <w:rFonts w:cs="Arial"/>
                <w:szCs w:val="24"/>
                <w:lang w:val="es-MX"/>
              </w:rPr>
              <w:t>superficie  mayor</w:t>
            </w:r>
            <w:proofErr w:type="gramEnd"/>
            <w:r w:rsidRPr="002C3A74">
              <w:rPr>
                <w:rFonts w:cs="Arial"/>
                <w:szCs w:val="24"/>
                <w:lang w:val="es-MX"/>
              </w:rPr>
              <w:t xml:space="preserve"> de 120 metros cuadrados</w:t>
            </w:r>
          </w:p>
        </w:tc>
        <w:tc>
          <w:tcPr>
            <w:tcW w:w="163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0.10 Veces la Unidad de </w:t>
            </w:r>
            <w:r w:rsidRPr="002C3A74">
              <w:rPr>
                <w:rFonts w:cs="Arial"/>
                <w:szCs w:val="24"/>
                <w:lang w:val="es-MX"/>
              </w:rPr>
              <w:lastRenderedPageBreak/>
              <w:t>Medida y Actualización vigente</w:t>
            </w:r>
          </w:p>
        </w:tc>
        <w:tc>
          <w:tcPr>
            <w:tcW w:w="1484" w:type="dxa"/>
          </w:tcPr>
          <w:p w:rsidR="00CB246A" w:rsidRPr="002C3A74" w:rsidRDefault="00CB246A" w:rsidP="00642803">
            <w:pPr>
              <w:spacing w:line="276" w:lineRule="auto"/>
              <w:contextualSpacing/>
              <w:jc w:val="center"/>
              <w:rPr>
                <w:rFonts w:cs="Arial"/>
                <w:szCs w:val="24"/>
              </w:rPr>
            </w:pPr>
            <w:r w:rsidRPr="002C3A74">
              <w:rPr>
                <w:rFonts w:cs="Arial"/>
                <w:szCs w:val="24"/>
                <w:lang w:val="es-MX"/>
              </w:rPr>
              <w:lastRenderedPageBreak/>
              <w:t>M²</w:t>
            </w:r>
          </w:p>
        </w:tc>
      </w:tr>
      <w:tr w:rsidR="00CB246A" w:rsidRPr="002C3A74" w:rsidTr="00642803">
        <w:tc>
          <w:tcPr>
            <w:tcW w:w="5715"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IV.- </w:t>
            </w:r>
            <w:r w:rsidRPr="002C3A74">
              <w:rPr>
                <w:rFonts w:cs="Arial"/>
                <w:szCs w:val="24"/>
                <w:lang w:val="es-MX"/>
              </w:rPr>
              <w:t>Por cada permiso de remodelación</w:t>
            </w:r>
          </w:p>
        </w:tc>
        <w:tc>
          <w:tcPr>
            <w:tcW w:w="163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0.06 Veces la Unidad de Medida y Actualización vigente</w:t>
            </w:r>
          </w:p>
        </w:tc>
        <w:tc>
          <w:tcPr>
            <w:tcW w:w="1484" w:type="dxa"/>
          </w:tcPr>
          <w:p w:rsidR="00CB246A" w:rsidRPr="002C3A74" w:rsidRDefault="00CB246A" w:rsidP="00642803">
            <w:pPr>
              <w:spacing w:line="276" w:lineRule="auto"/>
              <w:contextualSpacing/>
              <w:jc w:val="center"/>
              <w:rPr>
                <w:rFonts w:cs="Arial"/>
                <w:szCs w:val="24"/>
              </w:rPr>
            </w:pPr>
            <w:r w:rsidRPr="002C3A74">
              <w:rPr>
                <w:rFonts w:cs="Arial"/>
                <w:szCs w:val="24"/>
                <w:lang w:val="es-MX"/>
              </w:rPr>
              <w:t>M²</w:t>
            </w:r>
          </w:p>
        </w:tc>
      </w:tr>
      <w:tr w:rsidR="00CB246A" w:rsidRPr="002C3A74" w:rsidTr="00642803">
        <w:tc>
          <w:tcPr>
            <w:tcW w:w="5715"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V.- </w:t>
            </w:r>
            <w:r w:rsidRPr="002C3A74">
              <w:rPr>
                <w:rFonts w:cs="Arial"/>
                <w:szCs w:val="24"/>
                <w:lang w:val="es-MX"/>
              </w:rPr>
              <w:t>Por cada permiso de demolición y/o desmantelamiento de edificaciones diversas a bardas u otras obras lineales</w:t>
            </w:r>
          </w:p>
        </w:tc>
        <w:tc>
          <w:tcPr>
            <w:tcW w:w="163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0.06 Veces la Unidad de Medida y Actualización vigente</w:t>
            </w:r>
          </w:p>
        </w:tc>
        <w:tc>
          <w:tcPr>
            <w:tcW w:w="1484" w:type="dxa"/>
          </w:tcPr>
          <w:p w:rsidR="00CB246A" w:rsidRPr="002C3A74" w:rsidRDefault="00CB246A" w:rsidP="00642803">
            <w:pPr>
              <w:spacing w:line="276" w:lineRule="auto"/>
              <w:contextualSpacing/>
              <w:jc w:val="center"/>
              <w:rPr>
                <w:rFonts w:cs="Arial"/>
                <w:szCs w:val="24"/>
              </w:rPr>
            </w:pPr>
            <w:r w:rsidRPr="002C3A74">
              <w:rPr>
                <w:rFonts w:cs="Arial"/>
                <w:szCs w:val="24"/>
                <w:lang w:val="es-MX"/>
              </w:rPr>
              <w:t>M²</w:t>
            </w:r>
          </w:p>
        </w:tc>
      </w:tr>
      <w:tr w:rsidR="00CB246A" w:rsidRPr="002C3A74" w:rsidTr="00642803">
        <w:tc>
          <w:tcPr>
            <w:tcW w:w="5715"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VI.- </w:t>
            </w:r>
            <w:r w:rsidRPr="002C3A74">
              <w:rPr>
                <w:rFonts w:cs="Arial"/>
                <w:szCs w:val="24"/>
                <w:lang w:val="es-MX"/>
              </w:rPr>
              <w:t>Por cada permiso para la ruptura de banquetas, empedrados o pavimentos</w:t>
            </w:r>
          </w:p>
        </w:tc>
        <w:tc>
          <w:tcPr>
            <w:tcW w:w="163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xml:space="preserve">1 </w:t>
            </w:r>
            <w:proofErr w:type="gramStart"/>
            <w:r w:rsidRPr="002C3A74">
              <w:rPr>
                <w:rFonts w:cs="Arial"/>
                <w:szCs w:val="24"/>
                <w:lang w:val="es-MX"/>
              </w:rPr>
              <w:t>Unidad</w:t>
            </w:r>
            <w:proofErr w:type="gramEnd"/>
            <w:r w:rsidRPr="002C3A74">
              <w:rPr>
                <w:rFonts w:cs="Arial"/>
                <w:szCs w:val="24"/>
                <w:lang w:val="es-MX"/>
              </w:rPr>
              <w:t xml:space="preserve"> de Medida y Actualización</w:t>
            </w:r>
          </w:p>
        </w:tc>
        <w:tc>
          <w:tcPr>
            <w:tcW w:w="1484" w:type="dxa"/>
          </w:tcPr>
          <w:p w:rsidR="00CB246A" w:rsidRPr="002C3A74" w:rsidRDefault="00CB246A" w:rsidP="00642803">
            <w:pPr>
              <w:spacing w:line="276" w:lineRule="auto"/>
              <w:contextualSpacing/>
              <w:jc w:val="center"/>
              <w:rPr>
                <w:rFonts w:cs="Arial"/>
                <w:szCs w:val="24"/>
              </w:rPr>
            </w:pPr>
            <w:r w:rsidRPr="002C3A74">
              <w:rPr>
                <w:rFonts w:cs="Arial"/>
                <w:szCs w:val="24"/>
                <w:lang w:val="es-MX"/>
              </w:rPr>
              <w:t>M²</w:t>
            </w:r>
          </w:p>
        </w:tc>
      </w:tr>
      <w:tr w:rsidR="00CB246A" w:rsidRPr="002C3A74" w:rsidTr="00642803">
        <w:tc>
          <w:tcPr>
            <w:tcW w:w="5715"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VII.- </w:t>
            </w:r>
            <w:r w:rsidRPr="002C3A74">
              <w:rPr>
                <w:rFonts w:cs="Arial"/>
                <w:szCs w:val="24"/>
                <w:lang w:val="es-MX"/>
              </w:rPr>
              <w:t>Por cada permiso de excavación para la construcción de albercas o fosas sépticas</w:t>
            </w:r>
          </w:p>
        </w:tc>
        <w:tc>
          <w:tcPr>
            <w:tcW w:w="163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0.10 Veces la Unidad de Medida y Actualización vigente</w:t>
            </w:r>
          </w:p>
        </w:tc>
        <w:tc>
          <w:tcPr>
            <w:tcW w:w="1484" w:type="dxa"/>
          </w:tcPr>
          <w:p w:rsidR="00CB246A" w:rsidRPr="002C3A74" w:rsidRDefault="00CB246A" w:rsidP="00642803">
            <w:pPr>
              <w:spacing w:line="276" w:lineRule="auto"/>
              <w:contextualSpacing/>
              <w:jc w:val="center"/>
              <w:rPr>
                <w:rFonts w:cs="Arial"/>
                <w:szCs w:val="24"/>
              </w:rPr>
            </w:pPr>
            <w:r w:rsidRPr="002C3A74">
              <w:rPr>
                <w:rFonts w:cs="Arial"/>
                <w:szCs w:val="24"/>
                <w:lang w:val="es-MX"/>
              </w:rPr>
              <w:t>M³</w:t>
            </w:r>
          </w:p>
        </w:tc>
      </w:tr>
      <w:tr w:rsidR="00CB246A" w:rsidRPr="002C3A74" w:rsidTr="00642803">
        <w:tc>
          <w:tcPr>
            <w:tcW w:w="5715"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VIII.- </w:t>
            </w:r>
            <w:r w:rsidRPr="002C3A74">
              <w:rPr>
                <w:rFonts w:cs="Arial"/>
                <w:szCs w:val="24"/>
                <w:lang w:val="es-MX"/>
              </w:rPr>
              <w:t>Por cada permiso de excavación para la construcción de pozos</w:t>
            </w:r>
          </w:p>
        </w:tc>
        <w:tc>
          <w:tcPr>
            <w:tcW w:w="163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0.08 Veces la Unidad de Medida y Actualización vigente</w:t>
            </w:r>
          </w:p>
        </w:tc>
        <w:tc>
          <w:tcPr>
            <w:tcW w:w="1484" w:type="dxa"/>
          </w:tcPr>
          <w:p w:rsidR="00CB246A" w:rsidRPr="002C3A74" w:rsidRDefault="00CB246A" w:rsidP="00642803">
            <w:pPr>
              <w:spacing w:line="276" w:lineRule="auto"/>
              <w:contextualSpacing/>
              <w:jc w:val="center"/>
              <w:rPr>
                <w:rFonts w:cs="Arial"/>
                <w:szCs w:val="24"/>
              </w:rPr>
            </w:pPr>
            <w:r w:rsidRPr="002C3A74">
              <w:rPr>
                <w:rFonts w:cs="Arial"/>
                <w:szCs w:val="24"/>
                <w:lang w:val="es-MX"/>
              </w:rPr>
              <w:t>ML de profundidad</w:t>
            </w:r>
          </w:p>
        </w:tc>
      </w:tr>
      <w:tr w:rsidR="00CB246A" w:rsidRPr="002C3A74" w:rsidTr="00642803">
        <w:tc>
          <w:tcPr>
            <w:tcW w:w="5715"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IX.- </w:t>
            </w:r>
            <w:r w:rsidRPr="002C3A74">
              <w:rPr>
                <w:rFonts w:cs="Arial"/>
                <w:szCs w:val="24"/>
                <w:lang w:val="es-MX"/>
              </w:rPr>
              <w:t>Por cada permiso para la construcción o demolición de bardas u obras lineales</w:t>
            </w:r>
          </w:p>
        </w:tc>
        <w:tc>
          <w:tcPr>
            <w:tcW w:w="1631"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0.05 Veces la Unidad de Medida y Actualización vigente</w:t>
            </w:r>
          </w:p>
        </w:tc>
        <w:tc>
          <w:tcPr>
            <w:tcW w:w="1484" w:type="dxa"/>
          </w:tcPr>
          <w:p w:rsidR="00CB246A" w:rsidRPr="002C3A74" w:rsidRDefault="00CB246A" w:rsidP="00642803">
            <w:pPr>
              <w:spacing w:line="276" w:lineRule="auto"/>
              <w:contextualSpacing/>
              <w:jc w:val="center"/>
              <w:rPr>
                <w:rFonts w:cs="Arial"/>
                <w:szCs w:val="24"/>
              </w:rPr>
            </w:pPr>
            <w:r w:rsidRPr="002C3A74">
              <w:rPr>
                <w:rFonts w:cs="Arial"/>
                <w:szCs w:val="24"/>
                <w:lang w:val="es-MX"/>
              </w:rPr>
              <w:t>ML</w:t>
            </w:r>
          </w:p>
        </w:tc>
      </w:tr>
    </w:tbl>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23.- </w:t>
      </w:r>
      <w:r w:rsidRPr="002C3A74">
        <w:rPr>
          <w:rFonts w:cs="Arial"/>
          <w:szCs w:val="24"/>
        </w:rPr>
        <w:t>Por el otorgamiento de los permisos para luz y sonido, bailes populares, verbenas y otros similares se cau</w:t>
      </w:r>
      <w:r>
        <w:rPr>
          <w:rFonts w:cs="Arial"/>
          <w:szCs w:val="24"/>
        </w:rPr>
        <w:t>sarán y pagarán derechos de $ 300.00</w:t>
      </w:r>
      <w:r w:rsidRPr="002C3A74">
        <w:rPr>
          <w:rFonts w:cs="Arial"/>
          <w:szCs w:val="24"/>
        </w:rPr>
        <w:t xml:space="preserve"> por día.</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24.- </w:t>
      </w:r>
      <w:r w:rsidRPr="002C3A74">
        <w:rPr>
          <w:rFonts w:cs="Arial"/>
          <w:szCs w:val="24"/>
        </w:rPr>
        <w:t>Por el permiso para el cierre de calles por fiestas o cualquier evento o espectáculo en la vía públi</w:t>
      </w:r>
      <w:r>
        <w:rPr>
          <w:rFonts w:cs="Arial"/>
          <w:szCs w:val="24"/>
        </w:rPr>
        <w:t>ca, se pagará la cantidad de $ 7</w:t>
      </w:r>
      <w:r w:rsidRPr="002C3A74">
        <w:rPr>
          <w:rFonts w:cs="Arial"/>
          <w:szCs w:val="24"/>
        </w:rPr>
        <w:t>5.00 por día.</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lastRenderedPageBreak/>
        <w:t xml:space="preserve">Artículo 25.- </w:t>
      </w:r>
      <w:r w:rsidRPr="002C3A74">
        <w:rPr>
          <w:rFonts w:cs="Arial"/>
          <w:szCs w:val="24"/>
        </w:rPr>
        <w:t>Por el otorgamiento de los permisos de puestos durante la fiesta a</w:t>
      </w:r>
      <w:r>
        <w:rPr>
          <w:rFonts w:cs="Arial"/>
          <w:szCs w:val="24"/>
        </w:rPr>
        <w:t>nual será por la cantidad de $300.</w:t>
      </w:r>
      <w:r w:rsidRPr="002C3A74">
        <w:rPr>
          <w:rFonts w:cs="Arial"/>
          <w:szCs w:val="24"/>
        </w:rPr>
        <w:t>00 por metro lineal.</w:t>
      </w:r>
    </w:p>
    <w:p w:rsidR="00CB246A" w:rsidRPr="002C3A74" w:rsidRDefault="00CB246A"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Il</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Servicios de Catastro</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26.- </w:t>
      </w:r>
      <w:r w:rsidRPr="002C3A74">
        <w:rPr>
          <w:rFonts w:cs="Arial"/>
          <w:szCs w:val="24"/>
        </w:rPr>
        <w:t>Por servicios de catastro que preste el Ayuntamiento se pagará, una cuota de acuerdo a la siguiente tarifa:</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8828" w:type="dxa"/>
            <w:gridSpan w:val="2"/>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Por la emisión de copias fotostáticas simples:</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a) </w:t>
            </w:r>
            <w:r w:rsidRPr="002C3A74">
              <w:rPr>
                <w:rFonts w:cs="Arial"/>
                <w:szCs w:val="24"/>
                <w:lang w:val="es-MX"/>
              </w:rPr>
              <w:t>Por cada copia simple tamaño carta de cédulas, planos, parcelas, formas de manifestación de traslación de dominio o cualquier otra manifestación:</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Pr>
                <w:rFonts w:cs="Arial"/>
                <w:szCs w:val="24"/>
                <w:lang w:val="es-MX"/>
              </w:rPr>
              <w:t>$ 25</w:t>
            </w:r>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b) </w:t>
            </w:r>
            <w:r w:rsidRPr="002C3A74">
              <w:rPr>
                <w:rFonts w:cs="Arial"/>
                <w:szCs w:val="24"/>
                <w:lang w:val="es-MX"/>
              </w:rPr>
              <w:t>Por cada copia simple tamaño oficio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35</w:t>
            </w:r>
            <w:r w:rsidRPr="002C3A74">
              <w:rPr>
                <w:rFonts w:cs="Arial"/>
                <w:szCs w:val="24"/>
                <w:lang w:val="es-MX"/>
              </w:rPr>
              <w:t>.00</w:t>
            </w:r>
          </w:p>
        </w:tc>
      </w:tr>
      <w:tr w:rsidR="00CB246A" w:rsidRPr="002C3A74" w:rsidTr="00642803">
        <w:tc>
          <w:tcPr>
            <w:tcW w:w="8828" w:type="dxa"/>
            <w:gridSpan w:val="2"/>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Por la expedición de copias fotostáticas certificadas de:</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a) </w:t>
            </w:r>
            <w:r w:rsidRPr="002C3A74">
              <w:rPr>
                <w:rFonts w:cs="Arial"/>
                <w:szCs w:val="24"/>
                <w:lang w:val="es-MX"/>
              </w:rPr>
              <w:t>Cédulas, planos, parcelas manifestaciones (tamaño carta) cada una</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Pr>
                <w:rFonts w:cs="Arial"/>
                <w:szCs w:val="24"/>
                <w:lang w:val="es-MX"/>
              </w:rPr>
              <w:t>$  25</w:t>
            </w:r>
            <w:proofErr w:type="gramEnd"/>
            <w:r w:rsidRPr="002C3A74">
              <w:rPr>
                <w:rFonts w:cs="Arial"/>
                <w:szCs w:val="24"/>
                <w:lang w:val="es-MX"/>
              </w:rPr>
              <w:t>.00</w:t>
            </w:r>
          </w:p>
        </w:tc>
      </w:tr>
      <w:tr w:rsidR="00CB246A" w:rsidRPr="002C3A74" w:rsidTr="00642803">
        <w:tc>
          <w:tcPr>
            <w:tcW w:w="5807" w:type="dxa"/>
            <w:tcBorders>
              <w:top w:val="single" w:sz="4" w:space="0" w:color="auto"/>
              <w:bottom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b) </w:t>
            </w:r>
            <w:r w:rsidRPr="002C3A74">
              <w:rPr>
                <w:rFonts w:cs="Arial"/>
                <w:szCs w:val="24"/>
                <w:lang w:val="es-MX"/>
              </w:rPr>
              <w:t>Planos tamaño oficio, cada una</w:t>
            </w:r>
          </w:p>
          <w:p w:rsidR="00CB246A" w:rsidRPr="002C3A74" w:rsidRDefault="00CB246A" w:rsidP="00642803">
            <w:pPr>
              <w:autoSpaceDE w:val="0"/>
              <w:autoSpaceDN w:val="0"/>
              <w:adjustRightInd w:val="0"/>
              <w:spacing w:line="276" w:lineRule="auto"/>
              <w:contextualSpacing/>
              <w:jc w:val="both"/>
              <w:rPr>
                <w:rFonts w:cs="Arial"/>
                <w:szCs w:val="24"/>
                <w:lang w:val="es-MX"/>
              </w:rPr>
            </w:pPr>
          </w:p>
        </w:tc>
        <w:tc>
          <w:tcPr>
            <w:tcW w:w="3021" w:type="dxa"/>
            <w:tcBorders>
              <w:top w:val="single" w:sz="4" w:space="0" w:color="auto"/>
              <w:bottom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Pr>
                <w:rFonts w:cs="Arial"/>
                <w:szCs w:val="24"/>
                <w:lang w:val="es-MX"/>
              </w:rPr>
              <w:t>$  35</w:t>
            </w:r>
            <w:proofErr w:type="gramEnd"/>
            <w:r w:rsidRPr="002C3A74">
              <w:rPr>
                <w:rFonts w:cs="Arial"/>
                <w:szCs w:val="24"/>
                <w:lang w:val="es-MX"/>
              </w:rPr>
              <w:t>.00</w:t>
            </w:r>
          </w:p>
        </w:tc>
      </w:tr>
      <w:tr w:rsidR="00CB246A" w:rsidRPr="002C3A74" w:rsidTr="00642803">
        <w:tc>
          <w:tcPr>
            <w:tcW w:w="5807" w:type="dxa"/>
            <w:tcBorders>
              <w:bottom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c) </w:t>
            </w:r>
            <w:r w:rsidRPr="002C3A74">
              <w:rPr>
                <w:rFonts w:cs="Arial"/>
                <w:szCs w:val="24"/>
                <w:lang w:val="es-MX"/>
              </w:rPr>
              <w:t>Planos tamaño hasta cuatro veces tamaño oficio, cada una</w:t>
            </w:r>
          </w:p>
        </w:tc>
        <w:tc>
          <w:tcPr>
            <w:tcW w:w="3021" w:type="dxa"/>
            <w:tcBorders>
              <w:bottom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Pr>
                <w:rFonts w:cs="Arial"/>
                <w:szCs w:val="24"/>
                <w:lang w:val="es-MX"/>
              </w:rPr>
              <w:t>$150</w:t>
            </w:r>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d) </w:t>
            </w:r>
            <w:r w:rsidRPr="002C3A74">
              <w:rPr>
                <w:rFonts w:cs="Arial"/>
                <w:szCs w:val="24"/>
                <w:lang w:val="es-MX"/>
              </w:rPr>
              <w:t>Planos mayores de cuatro veces tamaño oficio, cada una</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2</w:t>
            </w:r>
            <w:r>
              <w:rPr>
                <w:rFonts w:cs="Arial"/>
                <w:szCs w:val="24"/>
                <w:lang w:val="es-MX"/>
              </w:rPr>
              <w:t>5</w:t>
            </w:r>
            <w:r w:rsidRPr="002C3A74">
              <w:rPr>
                <w:rFonts w:cs="Arial"/>
                <w:szCs w:val="24"/>
                <w:lang w:val="es-MX"/>
              </w:rPr>
              <w:t>0.00</w:t>
            </w:r>
          </w:p>
        </w:tc>
      </w:tr>
      <w:tr w:rsidR="00CB246A" w:rsidRPr="002C3A74" w:rsidTr="00642803">
        <w:tc>
          <w:tcPr>
            <w:tcW w:w="8828" w:type="dxa"/>
            <w:gridSpan w:val="2"/>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III.- </w:t>
            </w:r>
            <w:r w:rsidRPr="002C3A74">
              <w:rPr>
                <w:rFonts w:cs="Arial"/>
                <w:szCs w:val="24"/>
                <w:lang w:val="es-MX"/>
              </w:rPr>
              <w:t>Por la expedición de oficios de:</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a) </w:t>
            </w:r>
            <w:r w:rsidRPr="002C3A74">
              <w:rPr>
                <w:rFonts w:cs="Arial"/>
                <w:szCs w:val="24"/>
                <w:lang w:val="es-MX"/>
              </w:rPr>
              <w:t>División (por cada parte):</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Pr>
                <w:rFonts w:cs="Arial"/>
                <w:szCs w:val="24"/>
                <w:lang w:val="es-MX"/>
              </w:rPr>
              <w:t>$   35</w:t>
            </w:r>
            <w:r w:rsidRPr="002C3A74">
              <w:rPr>
                <w:rFonts w:cs="Arial"/>
                <w:szCs w:val="24"/>
                <w:lang w:val="es-MX"/>
              </w:rPr>
              <w:t>.00</w:t>
            </w:r>
          </w:p>
        </w:tc>
      </w:tr>
      <w:tr w:rsidR="00CB246A" w:rsidRPr="002C3A74" w:rsidTr="00642803">
        <w:tc>
          <w:tcPr>
            <w:tcW w:w="5807" w:type="dxa"/>
            <w:tcBorders>
              <w:top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b) </w:t>
            </w:r>
            <w:r w:rsidRPr="002C3A74">
              <w:rPr>
                <w:rFonts w:cs="Arial"/>
                <w:szCs w:val="24"/>
                <w:lang w:val="es-MX"/>
              </w:rPr>
              <w:t xml:space="preserve">Unión, rectificación de medidas, urbanización y cambio de nomenclatura </w:t>
            </w:r>
            <w:r>
              <w:rPr>
                <w:rFonts w:cs="Arial"/>
                <w:szCs w:val="24"/>
                <w:lang w:val="es-MX"/>
              </w:rPr>
              <w:t>(por predio)</w:t>
            </w:r>
          </w:p>
        </w:tc>
        <w:tc>
          <w:tcPr>
            <w:tcW w:w="3021" w:type="dxa"/>
            <w:tcBorders>
              <w:top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w:t>
            </w:r>
            <w:r w:rsidRPr="002C3A74">
              <w:rPr>
                <w:rFonts w:cs="Arial"/>
                <w:szCs w:val="24"/>
                <w:lang w:val="es-MX"/>
              </w:rPr>
              <w:t>55</w:t>
            </w:r>
            <w:proofErr w:type="gramEnd"/>
            <w:r w:rsidRPr="002C3A74">
              <w:rPr>
                <w:rFonts w:cs="Arial"/>
                <w:szCs w:val="24"/>
                <w:lang w:val="es-MX"/>
              </w:rPr>
              <w:t>.00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c) </w:t>
            </w:r>
            <w:r w:rsidRPr="002C3A74">
              <w:rPr>
                <w:rFonts w:cs="Arial"/>
                <w:szCs w:val="24"/>
                <w:lang w:val="es-MX"/>
              </w:rPr>
              <w:t>Cédulas catastrales:(cada una):</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60</w:t>
            </w:r>
            <w:proofErr w:type="gramEnd"/>
            <w:r w:rsidRPr="002C3A74">
              <w:rPr>
                <w:rFonts w:cs="Arial"/>
                <w:szCs w:val="24"/>
                <w:lang w:val="es-MX"/>
              </w:rPr>
              <w:t>.00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d) </w:t>
            </w:r>
            <w:r w:rsidRPr="002C3A74">
              <w:rPr>
                <w:rFonts w:cs="Arial"/>
                <w:szCs w:val="24"/>
                <w:lang w:val="es-MX"/>
              </w:rPr>
              <w:t>Constancias de no propiedad, única propiedad, valor catastral, número oficial de predio, y certificado de inscripción</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60</w:t>
            </w:r>
            <w:r w:rsidRPr="002C3A74">
              <w:rPr>
                <w:rFonts w:cs="Arial"/>
                <w:szCs w:val="24"/>
                <w:lang w:val="es-MX"/>
              </w:rPr>
              <w:t>.00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e) </w:t>
            </w:r>
            <w:r w:rsidRPr="002C3A74">
              <w:rPr>
                <w:rFonts w:cs="Arial"/>
                <w:szCs w:val="24"/>
                <w:lang w:val="es-MX"/>
              </w:rPr>
              <w:t>Historial de predios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60</w:t>
            </w:r>
            <w:r w:rsidRPr="002C3A74">
              <w:rPr>
                <w:rFonts w:cs="Arial"/>
                <w:szCs w:val="24"/>
                <w:lang w:val="es-MX"/>
              </w:rPr>
              <w:t>.00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IV.- </w:t>
            </w:r>
            <w:r w:rsidRPr="002C3A74">
              <w:rPr>
                <w:rFonts w:cs="Arial"/>
                <w:szCs w:val="24"/>
                <w:lang w:val="es-MX"/>
              </w:rPr>
              <w:t>Por revalidación de oficios de división</w:t>
            </w:r>
            <w:r>
              <w:rPr>
                <w:rFonts w:cs="Arial"/>
                <w:szCs w:val="24"/>
                <w:lang w:val="es-MX"/>
              </w:rPr>
              <w:t xml:space="preserve"> y</w:t>
            </w:r>
            <w:r w:rsidRPr="002C3A74">
              <w:rPr>
                <w:rFonts w:cs="Arial"/>
                <w:szCs w:val="24"/>
                <w:lang w:val="es-MX"/>
              </w:rPr>
              <w:t xml:space="preserve"> unión</w:t>
            </w:r>
            <w:r>
              <w:rPr>
                <w:rFonts w:cs="Arial"/>
                <w:szCs w:val="24"/>
                <w:lang w:val="es-MX"/>
              </w:rPr>
              <w:t xml:space="preserve"> (por cada parte).</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35</w:t>
            </w:r>
            <w:proofErr w:type="gramEnd"/>
            <w:r w:rsidRPr="002C3A74">
              <w:rPr>
                <w:rFonts w:cs="Arial"/>
                <w:szCs w:val="24"/>
                <w:lang w:val="es-MX"/>
              </w:rPr>
              <w:t>.00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b/>
                <w:bCs/>
                <w:szCs w:val="24"/>
              </w:rPr>
            </w:pPr>
            <w:r w:rsidRPr="002C3A74">
              <w:rPr>
                <w:rFonts w:cs="Arial"/>
                <w:b/>
                <w:bCs/>
                <w:szCs w:val="24"/>
                <w:lang w:val="es-MX"/>
              </w:rPr>
              <w:t xml:space="preserve">V.- </w:t>
            </w:r>
            <w:r w:rsidRPr="002C3A74">
              <w:rPr>
                <w:rFonts w:cs="Arial"/>
                <w:szCs w:val="24"/>
                <w:lang w:val="es-MX"/>
              </w:rPr>
              <w:t>Por revalidación de oficios</w:t>
            </w:r>
            <w:r>
              <w:rPr>
                <w:rFonts w:cs="Arial"/>
                <w:szCs w:val="24"/>
                <w:lang w:val="es-MX"/>
              </w:rPr>
              <w:t xml:space="preserve"> </w:t>
            </w:r>
            <w:proofErr w:type="gramStart"/>
            <w:r>
              <w:rPr>
                <w:rFonts w:cs="Arial"/>
                <w:szCs w:val="24"/>
                <w:lang w:val="es-MX"/>
              </w:rPr>
              <w:t>de</w:t>
            </w:r>
            <w:r w:rsidRPr="002C3A74">
              <w:rPr>
                <w:rFonts w:cs="Arial"/>
                <w:szCs w:val="24"/>
                <w:lang w:val="es-MX"/>
              </w:rPr>
              <w:t xml:space="preserve">  rectificación</w:t>
            </w:r>
            <w:proofErr w:type="gramEnd"/>
            <w:r w:rsidRPr="002C3A74">
              <w:rPr>
                <w:rFonts w:cs="Arial"/>
                <w:szCs w:val="24"/>
                <w:lang w:val="es-MX"/>
              </w:rPr>
              <w:t xml:space="preserve"> de medidas, urbanización y cambio de nomenclatura </w:t>
            </w:r>
            <w:r>
              <w:rPr>
                <w:rFonts w:cs="Arial"/>
                <w:szCs w:val="24"/>
                <w:lang w:val="es-MX"/>
              </w:rPr>
              <w:t>(por predio)</w:t>
            </w:r>
          </w:p>
        </w:tc>
        <w:tc>
          <w:tcPr>
            <w:tcW w:w="3021" w:type="dxa"/>
          </w:tcPr>
          <w:p w:rsidR="00CB246A" w:rsidRDefault="00CB246A" w:rsidP="00642803">
            <w:pPr>
              <w:autoSpaceDE w:val="0"/>
              <w:autoSpaceDN w:val="0"/>
              <w:adjustRightInd w:val="0"/>
              <w:spacing w:line="276" w:lineRule="auto"/>
              <w:contextualSpacing/>
              <w:jc w:val="right"/>
              <w:rPr>
                <w:rFonts w:cs="Arial"/>
                <w:szCs w:val="24"/>
              </w:rPr>
            </w:pPr>
          </w:p>
          <w:p w:rsidR="00CB246A" w:rsidRPr="002C3A74" w:rsidRDefault="00CB246A" w:rsidP="00642803">
            <w:pPr>
              <w:autoSpaceDE w:val="0"/>
              <w:autoSpaceDN w:val="0"/>
              <w:adjustRightInd w:val="0"/>
              <w:spacing w:line="276" w:lineRule="auto"/>
              <w:contextualSpacing/>
              <w:jc w:val="right"/>
              <w:rPr>
                <w:rFonts w:cs="Arial"/>
                <w:szCs w:val="24"/>
              </w:rPr>
            </w:pPr>
            <w:proofErr w:type="gramStart"/>
            <w:r>
              <w:rPr>
                <w:rFonts w:cs="Arial"/>
                <w:szCs w:val="24"/>
              </w:rPr>
              <w:t>$  55</w:t>
            </w:r>
            <w:proofErr w:type="gramEnd"/>
            <w:r>
              <w:rPr>
                <w:rFonts w:cs="Arial"/>
                <w:szCs w:val="24"/>
              </w:rPr>
              <w:t>.00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V</w:t>
            </w:r>
            <w:r>
              <w:rPr>
                <w:rFonts w:cs="Arial"/>
                <w:b/>
                <w:bCs/>
                <w:szCs w:val="24"/>
                <w:lang w:val="es-MX"/>
              </w:rPr>
              <w:t>I</w:t>
            </w:r>
            <w:r w:rsidRPr="002C3A74">
              <w:rPr>
                <w:rFonts w:cs="Arial"/>
                <w:b/>
                <w:bCs/>
                <w:szCs w:val="24"/>
                <w:lang w:val="es-MX"/>
              </w:rPr>
              <w:t xml:space="preserve">.- </w:t>
            </w:r>
            <w:r w:rsidRPr="002C3A74">
              <w:rPr>
                <w:rFonts w:cs="Arial"/>
                <w:szCs w:val="24"/>
                <w:lang w:val="es-MX"/>
              </w:rPr>
              <w:t>Por diligencias de verificación de medidas físicas y colindancias de predios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$165.00</w:t>
            </w:r>
          </w:p>
        </w:tc>
      </w:tr>
      <w:tr w:rsidR="00CB246A" w:rsidRPr="002C3A74" w:rsidTr="00642803">
        <w:tc>
          <w:tcPr>
            <w:tcW w:w="5807" w:type="dxa"/>
            <w:tcBorders>
              <w:bottom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lastRenderedPageBreak/>
              <w:t>VI</w:t>
            </w:r>
            <w:r>
              <w:rPr>
                <w:rFonts w:cs="Arial"/>
                <w:b/>
                <w:bCs/>
                <w:szCs w:val="24"/>
                <w:lang w:val="es-MX"/>
              </w:rPr>
              <w:t>I</w:t>
            </w:r>
            <w:r w:rsidRPr="002C3A74">
              <w:rPr>
                <w:rFonts w:cs="Arial"/>
                <w:b/>
                <w:bCs/>
                <w:szCs w:val="24"/>
                <w:lang w:val="es-MX"/>
              </w:rPr>
              <w:t>.</w:t>
            </w:r>
            <w:r w:rsidRPr="002C3A74">
              <w:rPr>
                <w:rFonts w:cs="Arial"/>
                <w:szCs w:val="24"/>
                <w:lang w:val="es-MX"/>
              </w:rPr>
              <w:t>- Por trabajos topográficos hechos por peritos del Catastro del Estado.</w:t>
            </w:r>
          </w:p>
        </w:tc>
        <w:tc>
          <w:tcPr>
            <w:tcW w:w="3021" w:type="dxa"/>
            <w:tcBorders>
              <w:bottom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Se aplicarán los precios conforme a lo que establece el convenio respectivo</w:t>
            </w:r>
          </w:p>
        </w:tc>
      </w:tr>
      <w:tr w:rsidR="00CB246A" w:rsidRPr="002C3A74" w:rsidTr="00642803">
        <w:tc>
          <w:tcPr>
            <w:tcW w:w="8828" w:type="dxa"/>
            <w:gridSpan w:val="2"/>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VI</w:t>
            </w:r>
            <w:r>
              <w:rPr>
                <w:rFonts w:cs="Arial"/>
                <w:b/>
                <w:bCs/>
                <w:szCs w:val="24"/>
                <w:lang w:val="es-MX"/>
              </w:rPr>
              <w:t>I</w:t>
            </w:r>
            <w:r w:rsidRPr="002C3A74">
              <w:rPr>
                <w:rFonts w:cs="Arial"/>
                <w:b/>
                <w:bCs/>
                <w:szCs w:val="24"/>
                <w:lang w:val="es-MX"/>
              </w:rPr>
              <w:t>I.</w:t>
            </w:r>
            <w:r w:rsidRPr="002C3A74">
              <w:rPr>
                <w:rFonts w:cs="Arial"/>
                <w:szCs w:val="24"/>
                <w:lang w:val="es-MX"/>
              </w:rPr>
              <w:t>- Por la expedición de certificados de:</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a) </w:t>
            </w:r>
            <w:r w:rsidRPr="002C3A74">
              <w:rPr>
                <w:rFonts w:cs="Arial"/>
                <w:szCs w:val="24"/>
                <w:lang w:val="es-MX"/>
              </w:rPr>
              <w:t>Certificado de no adeudo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Pr>
                <w:rFonts w:cs="Arial"/>
                <w:szCs w:val="24"/>
                <w:lang w:val="es-MX"/>
              </w:rPr>
              <w:t>$    22</w:t>
            </w:r>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b) </w:t>
            </w:r>
            <w:r w:rsidRPr="002C3A74">
              <w:rPr>
                <w:rFonts w:cs="Arial"/>
                <w:szCs w:val="24"/>
                <w:lang w:val="es-MX"/>
              </w:rPr>
              <w:t>Certificado o constancia de valor catastral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22.00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w:t>
            </w:r>
            <w:r>
              <w:rPr>
                <w:rFonts w:cs="Arial"/>
                <w:b/>
                <w:bCs/>
                <w:szCs w:val="24"/>
                <w:lang w:val="es-MX"/>
              </w:rPr>
              <w:t>X</w:t>
            </w:r>
            <w:r w:rsidRPr="002C3A74">
              <w:rPr>
                <w:rFonts w:cs="Arial"/>
                <w:szCs w:val="24"/>
                <w:lang w:val="es-MX"/>
              </w:rPr>
              <w:t>.- Servicios varios: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a) </w:t>
            </w:r>
            <w:r w:rsidRPr="002C3A74">
              <w:rPr>
                <w:rFonts w:cs="Arial"/>
                <w:szCs w:val="24"/>
                <w:lang w:val="es-MX"/>
              </w:rPr>
              <w:t>Constancia de fundo legal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Pr>
                <w:rFonts w:cs="Arial"/>
                <w:szCs w:val="24"/>
                <w:lang w:val="es-MX"/>
              </w:rPr>
              <w:t>$  450</w:t>
            </w:r>
            <w:proofErr w:type="gramEnd"/>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b) </w:t>
            </w:r>
            <w:r w:rsidRPr="002C3A74">
              <w:rPr>
                <w:rFonts w:cs="Arial"/>
                <w:szCs w:val="24"/>
                <w:lang w:val="es-MX"/>
              </w:rPr>
              <w:t>Actualización de constancia de fundo legal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Pr>
                <w:rFonts w:cs="Arial"/>
                <w:szCs w:val="24"/>
                <w:lang w:val="es-MX"/>
              </w:rPr>
              <w:t>$  25</w:t>
            </w:r>
            <w:r w:rsidRPr="002C3A74">
              <w:rPr>
                <w:rFonts w:cs="Arial"/>
                <w:szCs w:val="24"/>
                <w:lang w:val="es-MX"/>
              </w:rPr>
              <w:t>0</w:t>
            </w:r>
            <w:proofErr w:type="gramEnd"/>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c) </w:t>
            </w:r>
            <w:r w:rsidRPr="002C3A74">
              <w:rPr>
                <w:rFonts w:cs="Arial"/>
                <w:szCs w:val="24"/>
                <w:lang w:val="es-MX"/>
              </w:rPr>
              <w:t>Actualización de título de propiedad del cementerio municipal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Pr>
                <w:rFonts w:cs="Arial"/>
                <w:szCs w:val="24"/>
                <w:lang w:val="es-MX"/>
              </w:rPr>
              <w:t>$  250</w:t>
            </w:r>
            <w:proofErr w:type="gramEnd"/>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d) </w:t>
            </w:r>
            <w:r w:rsidRPr="002C3A74">
              <w:rPr>
                <w:rFonts w:cs="Arial"/>
                <w:szCs w:val="24"/>
                <w:lang w:val="es-MX"/>
              </w:rPr>
              <w:t>Revalidación por extravío del título de propiedad del cementerio</w:t>
            </w:r>
            <w:r>
              <w:rPr>
                <w:rFonts w:cs="Arial"/>
                <w:szCs w:val="24"/>
                <w:lang w:val="es-MX"/>
              </w:rPr>
              <w:t xml:space="preserve"> </w:t>
            </w:r>
            <w:r w:rsidRPr="002C3A74">
              <w:rPr>
                <w:rFonts w:cs="Arial"/>
                <w:szCs w:val="24"/>
                <w:lang w:val="es-MX"/>
              </w:rPr>
              <w:t>municipal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45</w:t>
            </w:r>
            <w:r w:rsidRPr="002C3A74">
              <w:rPr>
                <w:rFonts w:cs="Arial"/>
                <w:szCs w:val="24"/>
                <w:lang w:val="es-MX"/>
              </w:rPr>
              <w:t>0.00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27.- </w:t>
      </w:r>
      <w:r w:rsidRPr="002C3A74">
        <w:rPr>
          <w:rFonts w:cs="Arial"/>
          <w:szCs w:val="24"/>
        </w:rPr>
        <w:t>Para la asignación del avalúo catastral se cubrirá lo siguiente:</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Para los predios urbanos por metro cuadrado (</w:t>
            </w:r>
            <w:r w:rsidRPr="002C3A74">
              <w:rPr>
                <w:rFonts w:cs="Arial"/>
                <w:b/>
                <w:bCs/>
                <w:szCs w:val="24"/>
                <w:lang w:val="es-MX"/>
              </w:rPr>
              <w:t>Superficie de terreno)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bCs/>
                <w:szCs w:val="24"/>
                <w:lang w:val="es-MX"/>
              </w:rPr>
            </w:pPr>
          </w:p>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bCs/>
                <w:szCs w:val="24"/>
                <w:lang w:val="es-MX"/>
              </w:rPr>
              <w:t>$</w:t>
            </w:r>
            <w:r>
              <w:rPr>
                <w:rFonts w:cs="Arial"/>
                <w:bCs/>
                <w:szCs w:val="24"/>
                <w:lang w:val="es-MX"/>
              </w:rPr>
              <w:t xml:space="preserve"> </w:t>
            </w:r>
            <w:r w:rsidRPr="002C3A74">
              <w:rPr>
                <w:rFonts w:cs="Arial"/>
                <w:bCs/>
                <w:szCs w:val="24"/>
                <w:lang w:val="es-MX"/>
              </w:rPr>
              <w:t>110.00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Superficie construida:</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a) </w:t>
            </w:r>
            <w:r w:rsidRPr="002C3A74">
              <w:rPr>
                <w:rFonts w:cs="Arial"/>
                <w:szCs w:val="24"/>
                <w:lang w:val="es-MX"/>
              </w:rPr>
              <w:t>Techo de concreto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bCs/>
                <w:szCs w:val="24"/>
                <w:lang w:val="es-MX"/>
              </w:rPr>
              <w:t>$</w:t>
            </w:r>
            <w:r>
              <w:rPr>
                <w:rFonts w:cs="Arial"/>
                <w:bCs/>
                <w:szCs w:val="24"/>
                <w:lang w:val="es-MX"/>
              </w:rPr>
              <w:t xml:space="preserve"> </w:t>
            </w:r>
            <w:r w:rsidRPr="002C3A74">
              <w:rPr>
                <w:rFonts w:cs="Arial"/>
                <w:bCs/>
                <w:szCs w:val="24"/>
                <w:lang w:val="es-MX"/>
              </w:rPr>
              <w:t>110.00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b) </w:t>
            </w:r>
            <w:r w:rsidRPr="002C3A74">
              <w:rPr>
                <w:rFonts w:cs="Arial"/>
                <w:szCs w:val="24"/>
                <w:lang w:val="es-MX"/>
              </w:rPr>
              <w:t>Techo de zinc o asbesto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55.00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c) </w:t>
            </w:r>
            <w:r w:rsidRPr="002C3A74">
              <w:rPr>
                <w:rFonts w:cs="Arial"/>
                <w:szCs w:val="24"/>
                <w:lang w:val="es-MX"/>
              </w:rPr>
              <w:t>Techo de cartón</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33.00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d) </w:t>
            </w:r>
            <w:r w:rsidRPr="002C3A74">
              <w:rPr>
                <w:rFonts w:cs="Arial"/>
                <w:szCs w:val="24"/>
                <w:lang w:val="es-MX"/>
              </w:rPr>
              <w:t>Techo de huano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44.00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En caso de que algún predio rústico tuviera construcción se aplicará lo establecido para la asignación del avalúo catastral en cuanto a la superficie construida de predios urbanos.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Articulo 28.- </w:t>
      </w:r>
      <w:r w:rsidRPr="002C3A74">
        <w:rPr>
          <w:rFonts w:cs="Arial"/>
          <w:szCs w:val="24"/>
        </w:rPr>
        <w:t>Quedan exentos del pago de los derechos que establece esta sección las instituciones públicas.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III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Servicios de Vigilancia</w:t>
      </w: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29.- </w:t>
      </w:r>
      <w:r w:rsidRPr="002C3A74">
        <w:rPr>
          <w:rFonts w:cs="Arial"/>
          <w:szCs w:val="24"/>
        </w:rPr>
        <w:t>Por servicios de vigilancia que preste el Ayuntamiento se pagará por cada elemento asignado, una cuota de acuerdo a la siguiente tarifa:</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Día por agente</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225.00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Hora por agente</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45.00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IV</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Servicios de Limpia</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30.- </w:t>
      </w:r>
      <w:r w:rsidRPr="002C3A74">
        <w:rPr>
          <w:rFonts w:cs="Arial"/>
          <w:szCs w:val="24"/>
        </w:rPr>
        <w:t>Por los derechos correspondientes al servicio de limpia, se causará y pagará la cuota de:</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w:t>
            </w:r>
            <w:r w:rsidRPr="002C3A74">
              <w:rPr>
                <w:rFonts w:cs="Arial"/>
                <w:szCs w:val="24"/>
                <w:lang w:val="es-MX"/>
              </w:rPr>
              <w:t>.- Por predio habitacional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6.00 por recolección</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II</w:t>
            </w:r>
            <w:r w:rsidRPr="002C3A74">
              <w:rPr>
                <w:rFonts w:cs="Arial"/>
                <w:szCs w:val="24"/>
                <w:lang w:val="es-MX"/>
              </w:rPr>
              <w:t>.- Por predio comercial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28.00 por recolección</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III</w:t>
            </w:r>
            <w:r w:rsidRPr="002C3A74">
              <w:rPr>
                <w:rFonts w:cs="Arial"/>
                <w:szCs w:val="24"/>
                <w:lang w:val="es-MX"/>
              </w:rPr>
              <w:t>.- Por predio Industrial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39.00 por recolección</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bCs/>
          <w:szCs w:val="24"/>
        </w:rPr>
      </w:pPr>
      <w:r w:rsidRPr="002C3A74">
        <w:rPr>
          <w:rFonts w:cs="Arial"/>
          <w:b/>
          <w:bCs/>
          <w:szCs w:val="24"/>
        </w:rPr>
        <w:t xml:space="preserve">Artículo 31.- </w:t>
      </w:r>
      <w:r w:rsidRPr="002C3A74">
        <w:rPr>
          <w:rFonts w:cs="Arial"/>
          <w:bCs/>
          <w:szCs w:val="24"/>
        </w:rPr>
        <w:t>por el uso del basurero municipal, se causará y cobrará lo siguiente:</w:t>
      </w:r>
    </w:p>
    <w:p w:rsidR="00CB246A" w:rsidRPr="002C3A74" w:rsidRDefault="00CB246A" w:rsidP="00CB246A">
      <w:pPr>
        <w:autoSpaceDE w:val="0"/>
        <w:autoSpaceDN w:val="0"/>
        <w:adjustRightInd w:val="0"/>
        <w:spacing w:line="276" w:lineRule="auto"/>
        <w:contextualSpacing/>
        <w:jc w:val="both"/>
        <w:rPr>
          <w:rFonts w:cs="Arial"/>
          <w:bCs/>
          <w:szCs w:val="24"/>
        </w:rPr>
      </w:pP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w:t>
            </w:r>
            <w:r w:rsidRPr="002C3A74">
              <w:rPr>
                <w:rFonts w:cs="Arial"/>
                <w:szCs w:val="24"/>
                <w:lang w:val="es-MX"/>
              </w:rPr>
              <w:t>.- Tratándose de desechos sólidos urbanos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w:t>
            </w:r>
            <w:r w:rsidRPr="002C3A74">
              <w:rPr>
                <w:rFonts w:cs="Arial"/>
                <w:szCs w:val="24"/>
                <w:lang w:val="es-MX"/>
              </w:rPr>
              <w:t>40.00</w:t>
            </w:r>
            <w:proofErr w:type="gramEnd"/>
            <w:r w:rsidRPr="002C3A74">
              <w:rPr>
                <w:rFonts w:cs="Arial"/>
                <w:szCs w:val="24"/>
                <w:lang w:val="es-MX"/>
              </w:rPr>
              <w:t xml:space="preserve"> por viaje</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II</w:t>
            </w:r>
            <w:r w:rsidRPr="002C3A74">
              <w:rPr>
                <w:rFonts w:cs="Arial"/>
                <w:szCs w:val="24"/>
                <w:lang w:val="es-MX"/>
              </w:rPr>
              <w:t>.- Tratándose de desechos proveniente de comercios o provenientes de la tala de árboles o animales muertos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w:t>
            </w:r>
            <w:r w:rsidRPr="002C3A74">
              <w:rPr>
                <w:rFonts w:cs="Arial"/>
                <w:szCs w:val="24"/>
                <w:lang w:val="es-MX"/>
              </w:rPr>
              <w:t>60.00</w:t>
            </w:r>
            <w:proofErr w:type="gramEnd"/>
            <w:r w:rsidRPr="002C3A74">
              <w:rPr>
                <w:rFonts w:cs="Arial"/>
                <w:szCs w:val="24"/>
                <w:lang w:val="es-MX"/>
              </w:rPr>
              <w:t xml:space="preserve"> por viaje</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III</w:t>
            </w:r>
            <w:r w:rsidRPr="002C3A74">
              <w:rPr>
                <w:rFonts w:cs="Arial"/>
                <w:szCs w:val="24"/>
                <w:lang w:val="es-MX"/>
              </w:rPr>
              <w:t>.- Tratándose de basura Industrial no peligrosa</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$113.00 por viaje</w:t>
            </w:r>
          </w:p>
        </w:tc>
      </w:tr>
    </w:tbl>
    <w:p w:rsidR="00CB246A" w:rsidRPr="002C3A74" w:rsidRDefault="00CB246A" w:rsidP="00CB246A">
      <w:pPr>
        <w:autoSpaceDE w:val="0"/>
        <w:autoSpaceDN w:val="0"/>
        <w:adjustRightInd w:val="0"/>
        <w:spacing w:line="276" w:lineRule="auto"/>
        <w:contextualSpacing/>
        <w:jc w:val="both"/>
        <w:rPr>
          <w:rFonts w:cs="Arial"/>
          <w:bCs/>
          <w:szCs w:val="24"/>
        </w:rPr>
      </w:pPr>
    </w:p>
    <w:p w:rsidR="00CB246A" w:rsidRPr="002C3A74" w:rsidRDefault="00CB246A" w:rsidP="00CB246A">
      <w:pPr>
        <w:autoSpaceDE w:val="0"/>
        <w:autoSpaceDN w:val="0"/>
        <w:adjustRightInd w:val="0"/>
        <w:spacing w:line="276" w:lineRule="auto"/>
        <w:contextualSpacing/>
        <w:jc w:val="both"/>
        <w:rPr>
          <w:rFonts w:cs="Arial"/>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V</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Servicios de Agua Potable</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32.- </w:t>
      </w:r>
      <w:r w:rsidRPr="002C3A74">
        <w:rPr>
          <w:rFonts w:cs="Arial"/>
          <w:szCs w:val="24"/>
        </w:rPr>
        <w:t>Por los servicios de agua potable que preste el Municipio se pagarán mensualmente las siguientes cuotas:</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Por toma doméstica</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$25.00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Por toma comercial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$35.00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III.- </w:t>
            </w:r>
            <w:r w:rsidRPr="002C3A74">
              <w:rPr>
                <w:rFonts w:cs="Arial"/>
                <w:szCs w:val="24"/>
                <w:lang w:val="es-MX"/>
              </w:rPr>
              <w:t>Por toma industrial</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$65.00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33.- </w:t>
      </w:r>
      <w:r w:rsidRPr="002C3A74">
        <w:rPr>
          <w:rFonts w:cs="Arial"/>
          <w:szCs w:val="24"/>
        </w:rPr>
        <w:t>Por realizar la conexión a la red municipal de agua potable se pagarán por cada toma $800.00 (poliducto de alta resistencia). Por las reparaciones realizadas a los usuarios dentro de su predio se les cobrará el costo de los materiales.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34.- </w:t>
      </w:r>
      <w:r w:rsidRPr="002C3A74">
        <w:rPr>
          <w:rFonts w:cs="Arial"/>
          <w:szCs w:val="24"/>
        </w:rPr>
        <w:t>Por el servicio de reconexión se pagará $400.00</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35.- </w:t>
      </w:r>
      <w:r w:rsidRPr="002C3A74">
        <w:rPr>
          <w:rFonts w:cs="Arial"/>
          <w:szCs w:val="24"/>
        </w:rPr>
        <w:t>En aquellos casos en que el usuario opte por pagar el consumo de doce meses en forma anticipada se le hará un descuento de $30.00 siempre que el pago se realice antes del último día de febrero de 2020.</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VI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Servicios Rastro</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36.- </w:t>
      </w:r>
      <w:r w:rsidRPr="002C3A74">
        <w:rPr>
          <w:rFonts w:cs="Arial"/>
          <w:szCs w:val="24"/>
        </w:rPr>
        <w:t>Los derechos por los servicios de rastro para la autorización de la matanza de ganado, se pagarán de acuerdo a la siguiente tarifa:</w:t>
      </w:r>
    </w:p>
    <w:tbl>
      <w:tblPr>
        <w:tblStyle w:val="Tablaconcuadrcula"/>
        <w:tblW w:w="8828" w:type="dxa"/>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Ganado vacuno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$ 57.00 por cabeza</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Ganado porcino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$ 34.00 por cabeza</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VII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Certificados y Constancias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37.- </w:t>
      </w:r>
      <w:r w:rsidRPr="002C3A74">
        <w:rPr>
          <w:rFonts w:cs="Arial"/>
          <w:szCs w:val="24"/>
        </w:rPr>
        <w:t>Por los certificados y constancias que expida la autoridad municipal, se pagarán las cuotas siguientes:</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Por cada certificado que expida el Ayuntamiento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Pr>
                <w:rFonts w:cs="Arial"/>
                <w:szCs w:val="24"/>
                <w:lang w:val="es-MX"/>
              </w:rPr>
              <w:t>$   35</w:t>
            </w:r>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Por cada copia certificada que expida el Ayuntamiento</w:t>
            </w:r>
            <w:r>
              <w:rPr>
                <w:rFonts w:cs="Arial"/>
                <w:szCs w:val="24"/>
                <w:lang w:val="es-MX"/>
              </w:rPr>
              <w:t xml:space="preserve"> tamaño carta</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25</w:t>
            </w:r>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III.- </w:t>
            </w:r>
            <w:r w:rsidRPr="002C3A74">
              <w:rPr>
                <w:rFonts w:cs="Arial"/>
                <w:szCs w:val="24"/>
                <w:lang w:val="es-MX"/>
              </w:rPr>
              <w:t>Por cada constancia que expida el Ayuntamiento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w:t>
            </w:r>
            <w:r w:rsidRPr="002C3A74">
              <w:rPr>
                <w:rFonts w:cs="Arial"/>
                <w:szCs w:val="24"/>
                <w:lang w:val="es-MX"/>
              </w:rPr>
              <w:t>3</w:t>
            </w:r>
            <w:r>
              <w:rPr>
                <w:rFonts w:cs="Arial"/>
                <w:szCs w:val="24"/>
                <w:lang w:val="es-MX"/>
              </w:rPr>
              <w:t>5</w:t>
            </w:r>
            <w:proofErr w:type="gramEnd"/>
            <w:r w:rsidRPr="002C3A74">
              <w:rPr>
                <w:rFonts w:cs="Arial"/>
                <w:szCs w:val="24"/>
                <w:lang w:val="es-MX"/>
              </w:rPr>
              <w:t>.00</w:t>
            </w:r>
          </w:p>
        </w:tc>
      </w:tr>
    </w:tbl>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VlII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Servicios de Mercados y Centrales de Abastos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38.- </w:t>
      </w:r>
      <w:r w:rsidRPr="002C3A74">
        <w:rPr>
          <w:rFonts w:cs="Arial"/>
          <w:szCs w:val="24"/>
        </w:rPr>
        <w:t>Los derechos por servicios de mercados se causarán y pagarán de conformidad con las siguientes tarifas:</w:t>
      </w: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Locatarios fijos y semifijos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w:t>
            </w:r>
            <w:r w:rsidRPr="002C3A74">
              <w:rPr>
                <w:rFonts w:cs="Arial"/>
                <w:szCs w:val="24"/>
                <w:lang w:val="es-MX"/>
              </w:rPr>
              <w:t>165</w:t>
            </w:r>
            <w:proofErr w:type="gramEnd"/>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Por utilizar las mesetas del mercado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w:t>
            </w:r>
            <w:r w:rsidRPr="002C3A74">
              <w:rPr>
                <w:rFonts w:cs="Arial"/>
                <w:szCs w:val="24"/>
                <w:lang w:val="es-MX"/>
              </w:rPr>
              <w:t>275</w:t>
            </w:r>
            <w:proofErr w:type="gramEnd"/>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III.</w:t>
            </w:r>
            <w:r w:rsidRPr="002C3A74">
              <w:rPr>
                <w:rFonts w:cs="Arial"/>
                <w:szCs w:val="24"/>
                <w:lang w:val="es-MX"/>
              </w:rPr>
              <w:t>- Vendedores ambulantes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100</w:t>
            </w:r>
            <w:r w:rsidRPr="002C3A74">
              <w:rPr>
                <w:rFonts w:cs="Arial"/>
                <w:szCs w:val="24"/>
                <w:lang w:val="es-MX"/>
              </w:rPr>
              <w:t>.00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IX</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Servicios de Cementerios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39.- </w:t>
      </w:r>
      <w:r w:rsidRPr="002C3A74">
        <w:rPr>
          <w:rFonts w:cs="Arial"/>
          <w:szCs w:val="24"/>
        </w:rPr>
        <w:t>Los derechos a que se refiere este capítulo, se causarán y pagarán conforme a las siguientes cuotas:</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Inhumaciones en fosas y criptas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a) </w:t>
            </w:r>
            <w:r w:rsidRPr="002C3A74">
              <w:rPr>
                <w:rFonts w:cs="Arial"/>
                <w:szCs w:val="24"/>
                <w:lang w:val="es-MX"/>
              </w:rPr>
              <w:t>Por temporalidad de 2 años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w:t>
            </w:r>
            <w:r w:rsidRPr="002C3A74">
              <w:rPr>
                <w:rFonts w:cs="Arial"/>
                <w:szCs w:val="24"/>
                <w:lang w:val="es-MX"/>
              </w:rPr>
              <w:t>2</w:t>
            </w:r>
            <w:r>
              <w:rPr>
                <w:rFonts w:cs="Arial"/>
                <w:szCs w:val="24"/>
                <w:lang w:val="es-MX"/>
              </w:rPr>
              <w:t>,</w:t>
            </w:r>
            <w:r w:rsidRPr="002C3A74">
              <w:rPr>
                <w:rFonts w:cs="Arial"/>
                <w:szCs w:val="24"/>
                <w:lang w:val="es-MX"/>
              </w:rPr>
              <w:t>200.00</w:t>
            </w:r>
            <w:proofErr w:type="gramEnd"/>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lastRenderedPageBreak/>
              <w:t xml:space="preserve">b) </w:t>
            </w:r>
            <w:r w:rsidRPr="002C3A74">
              <w:rPr>
                <w:rFonts w:cs="Arial"/>
                <w:szCs w:val="24"/>
                <w:lang w:val="es-MX"/>
              </w:rPr>
              <w:t>Adquirida a perpetuidad</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w:t>
            </w:r>
            <w:r w:rsidRPr="002C3A74">
              <w:rPr>
                <w:rFonts w:cs="Arial"/>
                <w:szCs w:val="24"/>
                <w:lang w:val="es-MX"/>
              </w:rPr>
              <w:t>3</w:t>
            </w:r>
            <w:r>
              <w:rPr>
                <w:rFonts w:cs="Arial"/>
                <w:szCs w:val="24"/>
                <w:lang w:val="es-MX"/>
              </w:rPr>
              <w:t>,</w:t>
            </w:r>
            <w:r w:rsidRPr="002C3A74">
              <w:rPr>
                <w:rFonts w:cs="Arial"/>
                <w:szCs w:val="24"/>
                <w:lang w:val="es-MX"/>
              </w:rPr>
              <w:t>500.00</w:t>
            </w:r>
            <w:proofErr w:type="gramEnd"/>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c) </w:t>
            </w:r>
            <w:r w:rsidRPr="002C3A74">
              <w:rPr>
                <w:rFonts w:cs="Arial"/>
                <w:szCs w:val="24"/>
                <w:lang w:val="es-MX"/>
              </w:rPr>
              <w:t>Compra de bóveda</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w:t>
            </w:r>
            <w:r w:rsidRPr="002C3A74">
              <w:rPr>
                <w:rFonts w:cs="Arial"/>
                <w:szCs w:val="24"/>
                <w:lang w:val="es-MX"/>
              </w:rPr>
              <w:t>3</w:t>
            </w:r>
            <w:r>
              <w:rPr>
                <w:rFonts w:cs="Arial"/>
                <w:szCs w:val="24"/>
                <w:lang w:val="es-MX"/>
              </w:rPr>
              <w:t>,</w:t>
            </w:r>
            <w:r w:rsidRPr="002C3A74">
              <w:rPr>
                <w:rFonts w:cs="Arial"/>
                <w:szCs w:val="24"/>
                <w:lang w:val="es-MX"/>
              </w:rPr>
              <w:t>500.00</w:t>
            </w:r>
            <w:proofErr w:type="gramEnd"/>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Por servicios de exhumación o inhumación después de transcurrido el término de ley</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a) </w:t>
            </w:r>
            <w:r w:rsidRPr="002C3A74">
              <w:rPr>
                <w:rFonts w:cs="Arial"/>
                <w:szCs w:val="24"/>
                <w:lang w:val="es-MX"/>
              </w:rPr>
              <w:t>Adultos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500.00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b) </w:t>
            </w:r>
            <w:r w:rsidRPr="002C3A74">
              <w:rPr>
                <w:rFonts w:cs="Arial"/>
                <w:szCs w:val="24"/>
                <w:lang w:val="es-MX"/>
              </w:rPr>
              <w:t>Niños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250.00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III.- </w:t>
            </w:r>
            <w:r w:rsidRPr="002C3A74">
              <w:rPr>
                <w:rFonts w:cs="Arial"/>
                <w:szCs w:val="24"/>
                <w:lang w:val="es-MX"/>
              </w:rPr>
              <w:t>Por la concesión de fosa común por temporalidad de 2 años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proofErr w:type="gramStart"/>
            <w:r w:rsidRPr="002C3A74">
              <w:rPr>
                <w:rFonts w:cs="Arial"/>
                <w:szCs w:val="24"/>
                <w:lang w:val="es-MX"/>
              </w:rPr>
              <w:t>$</w:t>
            </w:r>
            <w:r>
              <w:rPr>
                <w:rFonts w:cs="Arial"/>
                <w:szCs w:val="24"/>
                <w:lang w:val="es-MX"/>
              </w:rPr>
              <w:t xml:space="preserve">  </w:t>
            </w:r>
            <w:r w:rsidRPr="002C3A74">
              <w:rPr>
                <w:rFonts w:cs="Arial"/>
                <w:szCs w:val="24"/>
                <w:lang w:val="es-MX"/>
              </w:rPr>
              <w:t>2000</w:t>
            </w:r>
            <w:proofErr w:type="gramEnd"/>
            <w:r w:rsidRPr="002C3A74">
              <w:rPr>
                <w:rFonts w:cs="Arial"/>
                <w:szCs w:val="24"/>
                <w:lang w:val="es-MX"/>
              </w:rPr>
              <w:t>.00</w:t>
            </w:r>
          </w:p>
        </w:tc>
      </w:tr>
      <w:tr w:rsidR="00CB246A" w:rsidRPr="002C3A74" w:rsidTr="00642803">
        <w:tc>
          <w:tcPr>
            <w:tcW w:w="5807" w:type="dxa"/>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IV.</w:t>
            </w:r>
            <w:r w:rsidRPr="002C3A74">
              <w:rPr>
                <w:rFonts w:cs="Arial"/>
                <w:szCs w:val="24"/>
                <w:lang w:val="es-MX"/>
              </w:rPr>
              <w:t>- Suministro de energía eléctrica en bóvedas, criptas y osarios</w:t>
            </w:r>
          </w:p>
        </w:tc>
        <w:tc>
          <w:tcPr>
            <w:tcW w:w="3021" w:type="dxa"/>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100.00</w:t>
            </w:r>
          </w:p>
        </w:tc>
      </w:tr>
    </w:tbl>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X</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Servicios de la Unidad Municipal de Acceso a la Información</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40.- </w:t>
      </w:r>
      <w:r w:rsidRPr="002C3A74">
        <w:rPr>
          <w:rFonts w:cs="Arial"/>
          <w:szCs w:val="24"/>
        </w:rPr>
        <w:t>Los derechos a que se refiere este capítulo se pagarán de conformidad con las siguientes cuotas:</w:t>
      </w:r>
    </w:p>
    <w:tbl>
      <w:tblPr>
        <w:tblStyle w:val="Tablaconcuadrcula"/>
        <w:tblW w:w="0" w:type="auto"/>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l.- </w:t>
            </w:r>
            <w:r w:rsidRPr="002C3A74">
              <w:rPr>
                <w:rFonts w:cs="Arial"/>
                <w:szCs w:val="24"/>
                <w:lang w:val="es-MX"/>
              </w:rPr>
              <w:t>Por copia de simple</w:t>
            </w:r>
            <w:r>
              <w:rPr>
                <w:rFonts w:cs="Arial"/>
                <w:szCs w:val="24"/>
                <w:lang w:val="es-MX"/>
              </w:rPr>
              <w:t xml:space="preserve"> tamaño carta</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w:t>
            </w:r>
            <w:r w:rsidRPr="002C3A74">
              <w:rPr>
                <w:rFonts w:cs="Arial"/>
                <w:szCs w:val="24"/>
                <w:lang w:val="es-MX"/>
              </w:rPr>
              <w:t>2</w:t>
            </w:r>
            <w:r>
              <w:rPr>
                <w:rFonts w:cs="Arial"/>
                <w:szCs w:val="24"/>
                <w:lang w:val="es-MX"/>
              </w:rPr>
              <w:t>5</w:t>
            </w:r>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proofErr w:type="gramStart"/>
            <w:r w:rsidRPr="002C3A74">
              <w:rPr>
                <w:rFonts w:cs="Arial"/>
                <w:b/>
                <w:bCs/>
                <w:szCs w:val="24"/>
                <w:lang w:val="es-MX"/>
              </w:rPr>
              <w:t>ll.-</w:t>
            </w:r>
            <w:proofErr w:type="gramEnd"/>
            <w:r w:rsidRPr="002C3A74">
              <w:rPr>
                <w:rFonts w:cs="Arial"/>
                <w:b/>
                <w:bCs/>
                <w:szCs w:val="24"/>
                <w:lang w:val="es-MX"/>
              </w:rPr>
              <w:t xml:space="preserve"> </w:t>
            </w:r>
            <w:r w:rsidRPr="002C3A74">
              <w:rPr>
                <w:rFonts w:cs="Arial"/>
                <w:szCs w:val="24"/>
                <w:lang w:val="es-MX"/>
              </w:rPr>
              <w:t>Por copia certificada</w:t>
            </w:r>
            <w:r>
              <w:rPr>
                <w:rFonts w:cs="Arial"/>
                <w:szCs w:val="24"/>
                <w:lang w:val="es-MX"/>
              </w:rPr>
              <w:t xml:space="preserve"> tamaño carta</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25</w:t>
            </w:r>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proofErr w:type="gramStart"/>
            <w:r w:rsidRPr="002C3A74">
              <w:rPr>
                <w:rFonts w:cs="Arial"/>
                <w:b/>
                <w:bCs/>
                <w:szCs w:val="24"/>
                <w:lang w:val="es-MX"/>
              </w:rPr>
              <w:t>lll.-</w:t>
            </w:r>
            <w:proofErr w:type="gramEnd"/>
            <w:r w:rsidRPr="002C3A74">
              <w:rPr>
                <w:rFonts w:cs="Arial"/>
                <w:b/>
                <w:bCs/>
                <w:szCs w:val="24"/>
                <w:lang w:val="es-MX"/>
              </w:rPr>
              <w:t xml:space="preserve"> </w:t>
            </w:r>
            <w:r w:rsidRPr="002C3A74">
              <w:rPr>
                <w:rFonts w:cs="Arial"/>
                <w:szCs w:val="24"/>
                <w:lang w:val="es-MX"/>
              </w:rPr>
              <w:t>Por información en discos compactos</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25</w:t>
            </w:r>
            <w:r w:rsidRPr="002C3A74">
              <w:rPr>
                <w:rFonts w:cs="Arial"/>
                <w:szCs w:val="24"/>
                <w:lang w:val="es-MX"/>
              </w:rPr>
              <w:t>.00</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lV.- </w:t>
            </w:r>
            <w:r w:rsidRPr="002C3A74">
              <w:rPr>
                <w:rFonts w:cs="Arial"/>
                <w:szCs w:val="24"/>
                <w:lang w:val="es-MX"/>
              </w:rPr>
              <w:t>Por información en discos en formato DVD</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right"/>
              <w:rPr>
                <w:rFonts w:cs="Arial"/>
                <w:szCs w:val="24"/>
                <w:lang w:val="es-MX"/>
              </w:rPr>
            </w:pPr>
            <w:r w:rsidRPr="002C3A74">
              <w:rPr>
                <w:rFonts w:cs="Arial"/>
                <w:szCs w:val="24"/>
                <w:lang w:val="es-MX"/>
              </w:rPr>
              <w:t>$</w:t>
            </w:r>
            <w:r>
              <w:rPr>
                <w:rFonts w:cs="Arial"/>
                <w:szCs w:val="24"/>
                <w:lang w:val="es-MX"/>
              </w:rPr>
              <w:t xml:space="preserve">    25</w:t>
            </w:r>
            <w:r w:rsidRPr="002C3A74">
              <w:rPr>
                <w:rFonts w:cs="Arial"/>
                <w:szCs w:val="24"/>
                <w:lang w:val="es-MX"/>
              </w:rPr>
              <w:t>.00</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XI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Servicio de Alumbrado Público</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41.- </w:t>
      </w:r>
      <w:r w:rsidRPr="002C3A74">
        <w:rPr>
          <w:rFonts w:cs="Arial"/>
          <w:szCs w:val="24"/>
        </w:rPr>
        <w:t>El derecho por el servicio de alumbrado público será el que resulte de aplicar la tarifa que se describe la Ley de Hacienda Municipal del Estado de Yucatán.</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XII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Derechos por Servicios de Supervisión Sanitaria de Matanza</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42.- </w:t>
      </w:r>
      <w:r w:rsidRPr="002C3A74">
        <w:rPr>
          <w:rFonts w:cs="Arial"/>
          <w:szCs w:val="24"/>
        </w:rPr>
        <w:t>Los derechos por la autorización de la matanza de ganado, se pagarán de acuerdo a la siguiente tarifa:</w:t>
      </w:r>
    </w:p>
    <w:p w:rsidR="00CB246A" w:rsidRPr="002C3A74" w:rsidRDefault="00CB246A" w:rsidP="00CB246A">
      <w:pPr>
        <w:autoSpaceDE w:val="0"/>
        <w:autoSpaceDN w:val="0"/>
        <w:adjustRightInd w:val="0"/>
        <w:spacing w:line="276" w:lineRule="auto"/>
        <w:contextualSpacing/>
        <w:jc w:val="both"/>
        <w:rPr>
          <w:rFonts w:cs="Arial"/>
          <w:szCs w:val="24"/>
        </w:rPr>
      </w:pPr>
    </w:p>
    <w:tbl>
      <w:tblPr>
        <w:tblStyle w:val="Tablaconcuadrcula"/>
        <w:tblW w:w="8828" w:type="dxa"/>
        <w:tblLook w:val="04A0" w:firstRow="1" w:lastRow="0" w:firstColumn="1" w:lastColumn="0" w:noHBand="0" w:noVBand="1"/>
      </w:tblPr>
      <w:tblGrid>
        <w:gridCol w:w="5807"/>
        <w:gridCol w:w="3021"/>
      </w:tblGrid>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 </w:t>
            </w:r>
            <w:r w:rsidRPr="002C3A74">
              <w:rPr>
                <w:rFonts w:cs="Arial"/>
                <w:szCs w:val="24"/>
                <w:lang w:val="es-MX"/>
              </w:rPr>
              <w:t>Ganado vacuno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$ 57.00 por cabeza</w:t>
            </w:r>
          </w:p>
        </w:tc>
      </w:tr>
      <w:tr w:rsidR="00CB246A" w:rsidRPr="002C3A74" w:rsidTr="00642803">
        <w:tc>
          <w:tcPr>
            <w:tcW w:w="5807"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b/>
                <w:bCs/>
                <w:szCs w:val="24"/>
                <w:lang w:val="es-MX"/>
              </w:rPr>
              <w:t xml:space="preserve">II.- </w:t>
            </w:r>
            <w:r w:rsidRPr="002C3A74">
              <w:rPr>
                <w:rFonts w:cs="Arial"/>
                <w:szCs w:val="24"/>
                <w:lang w:val="es-MX"/>
              </w:rPr>
              <w:t>Ganado porcino</w:t>
            </w:r>
          </w:p>
        </w:tc>
        <w:tc>
          <w:tcPr>
            <w:tcW w:w="3021" w:type="dxa"/>
            <w:tcBorders>
              <w:top w:val="single" w:sz="4" w:space="0" w:color="auto"/>
              <w:left w:val="single" w:sz="4" w:space="0" w:color="auto"/>
              <w:bottom w:val="single" w:sz="4" w:space="0" w:color="auto"/>
              <w:right w:val="single" w:sz="4" w:space="0" w:color="auto"/>
            </w:tcBorders>
          </w:tcPr>
          <w:p w:rsidR="00CB246A" w:rsidRPr="002C3A74" w:rsidRDefault="00CB246A" w:rsidP="00642803">
            <w:pPr>
              <w:autoSpaceDE w:val="0"/>
              <w:autoSpaceDN w:val="0"/>
              <w:adjustRightInd w:val="0"/>
              <w:spacing w:line="276" w:lineRule="auto"/>
              <w:contextualSpacing/>
              <w:jc w:val="both"/>
              <w:rPr>
                <w:rFonts w:cs="Arial"/>
                <w:szCs w:val="24"/>
                <w:lang w:val="es-MX"/>
              </w:rPr>
            </w:pPr>
            <w:r w:rsidRPr="002C3A74">
              <w:rPr>
                <w:rFonts w:cs="Arial"/>
                <w:szCs w:val="24"/>
                <w:lang w:val="es-MX"/>
              </w:rPr>
              <w:t>$ 34.00 por cabeza</w:t>
            </w:r>
          </w:p>
        </w:tc>
      </w:tr>
    </w:tbl>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TÍTULO CUARTO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CONTRIBUCIONES DE MEJORAS</w:t>
      </w:r>
    </w:p>
    <w:p w:rsidR="00CB246A" w:rsidRPr="002C3A74" w:rsidRDefault="00CB246A"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ÚNICO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Contribuciones Especiales por Mejoras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43.- </w:t>
      </w:r>
      <w:r w:rsidRPr="002C3A74">
        <w:rPr>
          <w:rFonts w:cs="Arial"/>
          <w:szCs w:val="24"/>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La cuota a pagar se determinará de conformidad con lo establecido al efecto por la Ley General de Hacienda para los municipios del Estado de Yucatán.</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TÍTULO QUINTO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PRODUCTOS</w:t>
      </w:r>
    </w:p>
    <w:p w:rsidR="00CB246A" w:rsidRPr="002C3A74" w:rsidRDefault="00CB246A"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Productos Derivados de Bienes Inmuebles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44.- </w:t>
      </w:r>
      <w:r w:rsidRPr="002C3A74">
        <w:rPr>
          <w:rFonts w:cs="Arial"/>
          <w:szCs w:val="24"/>
        </w:rPr>
        <w:t>El Municipio percibirá productos derivados de sus bienes inmuebles por los siguientes conceptos: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I.- </w:t>
      </w:r>
      <w:r w:rsidRPr="002C3A74">
        <w:rPr>
          <w:rFonts w:cs="Arial"/>
          <w:szCs w:val="24"/>
        </w:rPr>
        <w:t>Arrendamiento o enajenación de bienes inmuebles;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II.</w:t>
      </w:r>
      <w:r w:rsidRPr="002C3A74">
        <w:rPr>
          <w:rFonts w:cs="Arial"/>
          <w:szCs w:val="24"/>
        </w:rPr>
        <w:t>- Por arrendamiento temporal o concesión por el tiempo útil de locales ubicados en bienes de dominio público, tales como mercados, plazas, jardines, unidades deportivas y otros bienes destinados a un servicio público, y</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III.- </w:t>
      </w:r>
      <w:r w:rsidRPr="002C3A74">
        <w:rPr>
          <w:rFonts w:cs="Arial"/>
          <w:szCs w:val="24"/>
        </w:rPr>
        <w:t>Por concesión del uso del piso en la vía pública o en bienes destinados a un servicio público como unidades deportivas, plazas y otros bienes de dominio público.</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 </w:t>
      </w:r>
      <w:r w:rsidRPr="002C3A74">
        <w:rPr>
          <w:rFonts w:cs="Arial"/>
          <w:szCs w:val="24"/>
        </w:rPr>
        <w:t>Por el uso del piso en la vía pública</w:t>
      </w:r>
      <w:r>
        <w:rPr>
          <w:rFonts w:cs="Arial"/>
          <w:szCs w:val="24"/>
        </w:rPr>
        <w:t xml:space="preserve"> </w:t>
      </w:r>
      <w:r w:rsidRPr="002C3A74">
        <w:rPr>
          <w:rFonts w:cs="Arial"/>
          <w:szCs w:val="24"/>
        </w:rPr>
        <w:t>de manera fija o semifija se pagará por metro cuadrado o fr</w:t>
      </w:r>
      <w:r>
        <w:rPr>
          <w:rFonts w:cs="Arial"/>
          <w:szCs w:val="24"/>
        </w:rPr>
        <w:t xml:space="preserve">acción que exceda de la mitad $ </w:t>
      </w:r>
      <w:r w:rsidRPr="002C3A74">
        <w:rPr>
          <w:rFonts w:cs="Arial"/>
          <w:szCs w:val="24"/>
        </w:rPr>
        <w:t>2</w:t>
      </w:r>
      <w:r>
        <w:rPr>
          <w:rFonts w:cs="Arial"/>
          <w:szCs w:val="24"/>
        </w:rPr>
        <w:t>50</w:t>
      </w:r>
      <w:r w:rsidRPr="002C3A74">
        <w:rPr>
          <w:rFonts w:cs="Arial"/>
          <w:szCs w:val="24"/>
        </w:rPr>
        <w:t xml:space="preserve">.00 </w:t>
      </w:r>
      <w:r>
        <w:rPr>
          <w:rFonts w:cs="Arial"/>
          <w:szCs w:val="24"/>
        </w:rPr>
        <w:t>mensuales</w:t>
      </w:r>
      <w:r w:rsidRPr="002C3A74">
        <w:rPr>
          <w:rFonts w:cs="Arial"/>
          <w:szCs w:val="24"/>
        </w:rPr>
        <w:t>.</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b) </w:t>
      </w:r>
      <w:r w:rsidRPr="002C3A74">
        <w:rPr>
          <w:rFonts w:cs="Arial"/>
          <w:szCs w:val="24"/>
        </w:rPr>
        <w:t>A las personas que vendan alimentos en vía pública de manera fija o semifija se cobrará la cantidad de $</w:t>
      </w:r>
      <w:r>
        <w:rPr>
          <w:rFonts w:cs="Arial"/>
          <w:szCs w:val="24"/>
        </w:rPr>
        <w:t xml:space="preserve"> 25</w:t>
      </w:r>
      <w:r w:rsidRPr="002C3A74">
        <w:rPr>
          <w:rFonts w:cs="Arial"/>
          <w:szCs w:val="24"/>
        </w:rPr>
        <w:t>0.00 mensuales.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Productos Derivados de Bienes Muebles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45.- </w:t>
      </w:r>
      <w:r w:rsidRPr="002C3A74">
        <w:rPr>
          <w:rFonts w:cs="Arial"/>
          <w:szCs w:val="24"/>
        </w:rPr>
        <w:t xml:space="preserve">El Municipio podrá percibir productos por concepto de la enajenación de sus bienes muebles, siempre y cuando éstos resulten innecesarios para la </w:t>
      </w:r>
      <w:r w:rsidRPr="002C3A74">
        <w:rPr>
          <w:rFonts w:cs="Arial"/>
          <w:szCs w:val="24"/>
        </w:rPr>
        <w:lastRenderedPageBreak/>
        <w:t>administración municipal, o bien que resulte incosteable su mantenimiento y conservación, debiendo sujetarse las enajenaciones a las reglas establecidas en la Ley General de Hacienda para los municipios del Estado de Yucatán.</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III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Productos Financieros</w:t>
      </w:r>
    </w:p>
    <w:p w:rsidR="00CB246A" w:rsidRPr="002C3A74" w:rsidRDefault="00CB246A"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46.- </w:t>
      </w:r>
      <w:r w:rsidRPr="002C3A74">
        <w:rPr>
          <w:rFonts w:cs="Arial"/>
          <w:szCs w:val="24"/>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IV</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Otros Productos</w:t>
      </w:r>
    </w:p>
    <w:p w:rsidR="00CB246A"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47.- </w:t>
      </w:r>
      <w:r w:rsidRPr="002C3A74">
        <w:rPr>
          <w:rFonts w:cs="Arial"/>
          <w:szCs w:val="24"/>
        </w:rPr>
        <w:t>El Municipio percibirá productos derivados de sus funciones de derecho privado, por el ejercicio de sus derechos sobre bienes ajenos y cualquier otro tipo de productos no comprendidos en los tres capítulos anteriores.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TÍTULO SEXTO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APROVECHAMIENTOS</w:t>
      </w:r>
    </w:p>
    <w:p w:rsidR="00CB246A" w:rsidRPr="002C3A74" w:rsidRDefault="00CB246A"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Aprovechamientos Derivados por Sanciones Municipales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48.- </w:t>
      </w:r>
      <w:r w:rsidRPr="002C3A74">
        <w:rPr>
          <w:rFonts w:cs="Arial"/>
          <w:szCs w:val="24"/>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El Municipio percibirá aprovechamientos derivados de:</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b/>
          <w:bCs/>
          <w:szCs w:val="24"/>
        </w:rPr>
      </w:pPr>
      <w:r w:rsidRPr="002C3A74">
        <w:rPr>
          <w:rFonts w:cs="Arial"/>
          <w:b/>
          <w:bCs/>
          <w:szCs w:val="24"/>
        </w:rPr>
        <w:t>I</w:t>
      </w:r>
      <w:r w:rsidRPr="002C3A74">
        <w:rPr>
          <w:rFonts w:cs="Arial"/>
          <w:szCs w:val="24"/>
        </w:rPr>
        <w:t xml:space="preserve">.- </w:t>
      </w:r>
      <w:r w:rsidRPr="002C3A74">
        <w:rPr>
          <w:rFonts w:cs="Arial"/>
          <w:b/>
          <w:bCs/>
          <w:szCs w:val="24"/>
        </w:rPr>
        <w:t>Infracciones por faltas administrativas: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Por violación a las disposiciones contenidas en los reglamentos municipales, se cobrarán las multas establecidas en cada uno de dichos ordenamientos.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b/>
          <w:bCs/>
          <w:szCs w:val="24"/>
        </w:rPr>
      </w:pPr>
      <w:r w:rsidRPr="002C3A74">
        <w:rPr>
          <w:rFonts w:cs="Arial"/>
          <w:b/>
          <w:bCs/>
          <w:szCs w:val="24"/>
        </w:rPr>
        <w:lastRenderedPageBreak/>
        <w:t>II</w:t>
      </w:r>
      <w:r w:rsidRPr="002C3A74">
        <w:rPr>
          <w:rFonts w:cs="Arial"/>
          <w:szCs w:val="24"/>
        </w:rPr>
        <w:t xml:space="preserve">.- </w:t>
      </w:r>
      <w:r w:rsidRPr="002C3A74">
        <w:rPr>
          <w:rFonts w:cs="Arial"/>
          <w:b/>
          <w:bCs/>
          <w:szCs w:val="24"/>
        </w:rPr>
        <w:t>Infracciones por faltas de carácter fiscal:</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 </w:t>
      </w:r>
      <w:r w:rsidRPr="002C3A74">
        <w:rPr>
          <w:rFonts w:cs="Arial"/>
          <w:szCs w:val="24"/>
        </w:rPr>
        <w:t>Por pagarse en forma extemporánea y a requerimiento de la autoridad municipal cualquiera de las contribuciones a que se refiera a esta Ley. Multa de 5 a 15 veces la Unidad de Medida y Actualización (UMA) vigente.</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b) </w:t>
      </w:r>
      <w:r w:rsidRPr="002C3A74">
        <w:rPr>
          <w:rFonts w:cs="Arial"/>
          <w:szCs w:val="24"/>
        </w:rPr>
        <w:t>Por no presentar o proporcionar el contribuyente los datos e informes que exigen las leyes fiscales o proporcionarlos extemporáneamente, hacerlo con información alterada. Multa de 5 a 15 veces la Unidad de Medida y Actualización (UMA) vigente.</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c) </w:t>
      </w:r>
      <w:r w:rsidRPr="002C3A74">
        <w:rPr>
          <w:rFonts w:cs="Arial"/>
          <w:szCs w:val="24"/>
        </w:rPr>
        <w:t>Por no comparecer el contribuyente ante la autoridad municipal para presentar, comprobar o aclarar cualquier asunto, para el que dicha autoridad esté facultada por las leyes fiscales vigentes. Multa de 5 a 15 veces la Unidad de Medida y Actualización (UMA) vigente.</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III</w:t>
      </w:r>
      <w:r w:rsidRPr="002C3A74">
        <w:rPr>
          <w:rFonts w:cs="Arial"/>
          <w:szCs w:val="24"/>
        </w:rPr>
        <w:t>.- Sanciones por falta de pago oportuno de créditos fiscales. Por falta de pago oportuno de créditos fiscales a que tiene derecho el Municipio por parte de los contribuyentes municipales, en apego a lo dispuesto en la Ley General de Hacienda para los municipios del Estado de Yucatán, se causarán recargos en la forma establecida en el Código Fiscal del Estado.</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Aprovechamientos Derivados de Recursos Transferidos al Municipio</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49.- </w:t>
      </w:r>
      <w:r w:rsidRPr="002C3A74">
        <w:rPr>
          <w:rFonts w:cs="Arial"/>
          <w:szCs w:val="24"/>
        </w:rPr>
        <w:t>Corresponderán a este capítulo de ingresos, los que perciba el municipio por cuenta de:</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I.- </w:t>
      </w:r>
      <w:r w:rsidRPr="002C3A74">
        <w:rPr>
          <w:rFonts w:cs="Arial"/>
          <w:szCs w:val="24"/>
        </w:rPr>
        <w:t>Cesiones;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II.- </w:t>
      </w:r>
      <w:r w:rsidRPr="002C3A74">
        <w:rPr>
          <w:rFonts w:cs="Arial"/>
          <w:szCs w:val="24"/>
        </w:rPr>
        <w:t>Herencias;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III.</w:t>
      </w:r>
      <w:r w:rsidRPr="002C3A74">
        <w:rPr>
          <w:rFonts w:cs="Arial"/>
          <w:szCs w:val="24"/>
        </w:rPr>
        <w:t>- Legados;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IV.- </w:t>
      </w:r>
      <w:r w:rsidRPr="002C3A74">
        <w:rPr>
          <w:rFonts w:cs="Arial"/>
          <w:szCs w:val="24"/>
        </w:rPr>
        <w:t>Donaciones;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V.- </w:t>
      </w:r>
      <w:r w:rsidRPr="002C3A74">
        <w:rPr>
          <w:rFonts w:cs="Arial"/>
          <w:szCs w:val="24"/>
        </w:rPr>
        <w:t>Adjudicaciones judiciales;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VI.- </w:t>
      </w:r>
      <w:r w:rsidRPr="002C3A74">
        <w:rPr>
          <w:rFonts w:cs="Arial"/>
          <w:szCs w:val="24"/>
        </w:rPr>
        <w:t>Adjudicaciones administrativas;</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VII.- </w:t>
      </w:r>
      <w:r w:rsidRPr="002C3A74">
        <w:rPr>
          <w:rFonts w:cs="Arial"/>
          <w:szCs w:val="24"/>
        </w:rPr>
        <w:t>Subsidios de otro nivel de gobierno;</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VIII.- </w:t>
      </w:r>
      <w:r w:rsidRPr="002C3A74">
        <w:rPr>
          <w:rFonts w:cs="Arial"/>
          <w:szCs w:val="24"/>
        </w:rPr>
        <w:t>Subsidios de organismos públicos y privados, y</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IX.- </w:t>
      </w:r>
      <w:r w:rsidRPr="002C3A74">
        <w:rPr>
          <w:rFonts w:cs="Arial"/>
          <w:szCs w:val="24"/>
        </w:rPr>
        <w:t>Multas impuestas por autoridades administrativas federales no fiscales.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III</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Aprovechamientos Diversos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lastRenderedPageBreak/>
        <w:t xml:space="preserve">Artículo 50.- </w:t>
      </w:r>
      <w:r w:rsidRPr="002C3A74">
        <w:rPr>
          <w:rFonts w:cs="Arial"/>
          <w:szCs w:val="24"/>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TÍTULO SÉPTIMO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PARTICIPACIONES Y APORTACIONES</w:t>
      </w:r>
    </w:p>
    <w:p w:rsidR="00CB246A" w:rsidRPr="002C3A74" w:rsidRDefault="00CB246A"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ÚNICO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Participaciones Federales, Estatales y Aportaciones</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Artículo 51.</w:t>
      </w:r>
      <w:r w:rsidRPr="002C3A74">
        <w:rPr>
          <w:rFonts w:cs="Arial"/>
          <w:szCs w:val="24"/>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szCs w:val="24"/>
        </w:rPr>
        <w:t>La Hacienda Pública Municipal percibirá las participaciones estatales y federales determinadas en los convenios relativos y en la Ley de Coordinación Fiscal del Estado de Yucatán.</w:t>
      </w:r>
    </w:p>
    <w:p w:rsidR="00CB246A" w:rsidRPr="002C3A74" w:rsidRDefault="00CB246A" w:rsidP="00CB246A">
      <w:pPr>
        <w:autoSpaceDE w:val="0"/>
        <w:autoSpaceDN w:val="0"/>
        <w:adjustRightInd w:val="0"/>
        <w:spacing w:line="276" w:lineRule="auto"/>
        <w:contextualSpacing/>
        <w:jc w:val="both"/>
        <w:rPr>
          <w:rFonts w:cs="Arial"/>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TÍTULO OCTAVO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INGRESOS EXTRAORDINARIOS</w:t>
      </w:r>
    </w:p>
    <w:p w:rsidR="00CB246A" w:rsidRPr="002C3A74" w:rsidRDefault="00CB246A" w:rsidP="00CB246A">
      <w:pPr>
        <w:autoSpaceDE w:val="0"/>
        <w:autoSpaceDN w:val="0"/>
        <w:adjustRightInd w:val="0"/>
        <w:spacing w:line="276" w:lineRule="auto"/>
        <w:contextualSpacing/>
        <w:jc w:val="center"/>
        <w:rPr>
          <w:rFonts w:cs="Arial"/>
          <w:b/>
          <w:bCs/>
          <w:szCs w:val="24"/>
        </w:rPr>
      </w:pP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CAPÍTULO ÚNICO</w:t>
      </w:r>
    </w:p>
    <w:p w:rsidR="00CB246A" w:rsidRPr="002C3A74" w:rsidRDefault="00CB246A" w:rsidP="00CB246A">
      <w:pPr>
        <w:autoSpaceDE w:val="0"/>
        <w:autoSpaceDN w:val="0"/>
        <w:adjustRightInd w:val="0"/>
        <w:spacing w:line="276" w:lineRule="auto"/>
        <w:contextualSpacing/>
        <w:jc w:val="center"/>
        <w:rPr>
          <w:rFonts w:cs="Arial"/>
          <w:b/>
          <w:bCs/>
          <w:szCs w:val="24"/>
        </w:rPr>
      </w:pPr>
      <w:r w:rsidRPr="002C3A74">
        <w:rPr>
          <w:rFonts w:cs="Arial"/>
          <w:b/>
          <w:bCs/>
          <w:szCs w:val="24"/>
        </w:rPr>
        <w:t>De los Empréstitos, Subsidios y los Provenientes del Estado o la Federación</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52.- </w:t>
      </w:r>
      <w:r w:rsidRPr="002C3A74">
        <w:rPr>
          <w:rFonts w:cs="Arial"/>
          <w:szCs w:val="24"/>
        </w:rPr>
        <w:t>Son ingresos extraordinarios los empréstitos, los subsidios o aquellos que el Municipio reciba de la Federación o del Estado, por conceptos diferentes a participaciones o aportaciones y los decretados excepcionalmente.</w:t>
      </w:r>
    </w:p>
    <w:p w:rsidR="00CB246A" w:rsidRPr="002C3A74" w:rsidRDefault="00CB246A" w:rsidP="00CB246A">
      <w:pPr>
        <w:autoSpaceDE w:val="0"/>
        <w:autoSpaceDN w:val="0"/>
        <w:adjustRightInd w:val="0"/>
        <w:spacing w:line="276" w:lineRule="auto"/>
        <w:contextualSpacing/>
        <w:jc w:val="both"/>
        <w:rPr>
          <w:rFonts w:cs="Arial"/>
          <w:b/>
          <w:bCs/>
          <w:szCs w:val="24"/>
        </w:rPr>
      </w:pPr>
    </w:p>
    <w:p w:rsidR="00CB246A" w:rsidRPr="005A110B" w:rsidRDefault="00CB246A" w:rsidP="00CB246A">
      <w:pPr>
        <w:autoSpaceDE w:val="0"/>
        <w:autoSpaceDN w:val="0"/>
        <w:adjustRightInd w:val="0"/>
        <w:spacing w:line="276" w:lineRule="auto"/>
        <w:contextualSpacing/>
        <w:jc w:val="center"/>
        <w:rPr>
          <w:rFonts w:cs="Arial"/>
          <w:b/>
          <w:bCs/>
          <w:szCs w:val="24"/>
          <w:lang w:val="en-US"/>
        </w:rPr>
      </w:pPr>
      <w:r w:rsidRPr="005A110B">
        <w:rPr>
          <w:rFonts w:cs="Arial"/>
          <w:b/>
          <w:bCs/>
          <w:szCs w:val="24"/>
          <w:lang w:val="en-US"/>
        </w:rPr>
        <w:t>T R A N S I T O R I O:</w:t>
      </w:r>
    </w:p>
    <w:p w:rsidR="00CB246A" w:rsidRPr="002C3A74" w:rsidRDefault="00CB246A" w:rsidP="00CB246A">
      <w:pPr>
        <w:autoSpaceDE w:val="0"/>
        <w:autoSpaceDN w:val="0"/>
        <w:adjustRightInd w:val="0"/>
        <w:spacing w:line="276" w:lineRule="auto"/>
        <w:contextualSpacing/>
        <w:jc w:val="both"/>
        <w:rPr>
          <w:rFonts w:cs="Arial"/>
          <w:szCs w:val="24"/>
        </w:rPr>
      </w:pPr>
      <w:r w:rsidRPr="002C3A74">
        <w:rPr>
          <w:rFonts w:cs="Arial"/>
          <w:b/>
          <w:bCs/>
          <w:szCs w:val="24"/>
        </w:rPr>
        <w:t xml:space="preserve">Artículo </w:t>
      </w:r>
      <w:proofErr w:type="gramStart"/>
      <w:r w:rsidRPr="002C3A74">
        <w:rPr>
          <w:rFonts w:cs="Arial"/>
          <w:b/>
          <w:bCs/>
          <w:szCs w:val="24"/>
        </w:rPr>
        <w:t>Único.-</w:t>
      </w:r>
      <w:proofErr w:type="gramEnd"/>
      <w:r w:rsidRPr="002C3A74">
        <w:rPr>
          <w:rFonts w:cs="Arial"/>
          <w:b/>
          <w:bCs/>
          <w:szCs w:val="24"/>
        </w:rPr>
        <w:t xml:space="preserve"> </w:t>
      </w:r>
      <w:r w:rsidRPr="002C3A74">
        <w:rPr>
          <w:rFonts w:cs="Arial"/>
          <w:szCs w:val="24"/>
        </w:rPr>
        <w:t>Para poder percibir aprovechamientos vía infracciones por faltas administrativas, el Ayuntamiento deberá contar con los reglamentos municipales respectivos, los que establecerán los montos de las sanciones correspondientes.</w:t>
      </w:r>
    </w:p>
    <w:p w:rsidR="00984254" w:rsidRDefault="00984254"/>
    <w:p w:rsidR="00CB246A" w:rsidRDefault="00CB246A"/>
    <w:p w:rsidR="00CB246A" w:rsidRDefault="00CB246A"/>
    <w:p w:rsidR="00CB246A" w:rsidRDefault="00CB246A"/>
    <w:p w:rsidR="00CB246A" w:rsidRDefault="00CB246A"/>
    <w:sectPr w:rsidR="00CB246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46A" w:rsidRDefault="00CB246A" w:rsidP="00CB246A">
      <w:pPr>
        <w:spacing w:after="0" w:line="240" w:lineRule="auto"/>
      </w:pPr>
      <w:r>
        <w:separator/>
      </w:r>
    </w:p>
  </w:endnote>
  <w:endnote w:type="continuationSeparator" w:id="0">
    <w:p w:rsidR="00CB246A" w:rsidRDefault="00CB246A" w:rsidP="00CB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46A" w:rsidRDefault="00CB246A" w:rsidP="00CB246A">
      <w:pPr>
        <w:spacing w:after="0" w:line="240" w:lineRule="auto"/>
      </w:pPr>
      <w:r>
        <w:separator/>
      </w:r>
    </w:p>
  </w:footnote>
  <w:footnote w:type="continuationSeparator" w:id="0">
    <w:p w:rsidR="00CB246A" w:rsidRDefault="00CB246A" w:rsidP="00CB2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46A" w:rsidRDefault="00CB246A">
    <w:pPr>
      <w:pStyle w:val="Encabezado"/>
      <w:rPr>
        <w:sz w:val="22"/>
      </w:rPr>
    </w:pPr>
    <w:r w:rsidRPr="00CB246A">
      <w:rPr>
        <w:sz w:val="22"/>
      </w:rPr>
      <w:t>INICIATIVA DE LEY DE INGRESOS 2020 DEL MUNICIPIO DE CENOTILLO, YUCATAN</w:t>
    </w:r>
  </w:p>
  <w:p w:rsidR="00CB246A" w:rsidRPr="00CB246A" w:rsidRDefault="00CB246A">
    <w:pPr>
      <w:pStyle w:val="Encabezado"/>
      <w:rPr>
        <w:sz w:val="22"/>
      </w:rPr>
    </w:pPr>
    <w:r>
      <w:rPr>
        <w:sz w:val="22"/>
      </w:rP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973D6"/>
    <w:multiLevelType w:val="hybridMultilevel"/>
    <w:tmpl w:val="6A70E0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70666F"/>
    <w:multiLevelType w:val="hybridMultilevel"/>
    <w:tmpl w:val="9612AE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C55996"/>
    <w:multiLevelType w:val="hybridMultilevel"/>
    <w:tmpl w:val="5100CA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4F16F6"/>
    <w:multiLevelType w:val="hybridMultilevel"/>
    <w:tmpl w:val="040A3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395690"/>
    <w:multiLevelType w:val="hybridMultilevel"/>
    <w:tmpl w:val="502299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FB3C59"/>
    <w:multiLevelType w:val="hybridMultilevel"/>
    <w:tmpl w:val="E09E9F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55753D"/>
    <w:multiLevelType w:val="hybridMultilevel"/>
    <w:tmpl w:val="FB2A20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6A"/>
    <w:rsid w:val="008E1D8D"/>
    <w:rsid w:val="00984254"/>
    <w:rsid w:val="00CB2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F6ED"/>
  <w15:chartTrackingRefBased/>
  <w15:docId w15:val="{E785FB13-6749-4EA4-A8D9-3DB54300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46A"/>
    <w:rPr>
      <w:rFonts w:ascii="Arial" w:hAnsi="Arial"/>
      <w:sz w:val="24"/>
    </w:rPr>
  </w:style>
  <w:style w:type="paragraph" w:styleId="Ttulo1">
    <w:name w:val="heading 1"/>
    <w:basedOn w:val="Normal"/>
    <w:next w:val="Normal"/>
    <w:link w:val="Ttulo1Car"/>
    <w:uiPriority w:val="9"/>
    <w:qFormat/>
    <w:rsid w:val="00CB24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B2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B246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unhideWhenUsed/>
    <w:qFormat/>
    <w:rsid w:val="00CB24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246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B246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B246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CB246A"/>
    <w:rPr>
      <w:rFonts w:asciiTheme="majorHAnsi" w:eastAsiaTheme="majorEastAsia" w:hAnsiTheme="majorHAnsi" w:cstheme="majorBidi"/>
      <w:i/>
      <w:iCs/>
      <w:color w:val="2F5496" w:themeColor="accent1" w:themeShade="BF"/>
      <w:sz w:val="24"/>
    </w:rPr>
  </w:style>
  <w:style w:type="paragraph" w:styleId="Prrafodelista">
    <w:name w:val="List Paragraph"/>
    <w:basedOn w:val="Normal"/>
    <w:uiPriority w:val="34"/>
    <w:qFormat/>
    <w:rsid w:val="00CB246A"/>
    <w:pPr>
      <w:ind w:left="720"/>
      <w:contextualSpacing/>
    </w:pPr>
  </w:style>
  <w:style w:type="paragraph" w:styleId="Sinespaciado">
    <w:name w:val="No Spacing"/>
    <w:uiPriority w:val="1"/>
    <w:qFormat/>
    <w:rsid w:val="00CB246A"/>
    <w:pPr>
      <w:spacing w:after="0" w:line="240" w:lineRule="auto"/>
    </w:pPr>
    <w:rPr>
      <w:rFonts w:ascii="Arial" w:hAnsi="Arial"/>
      <w:sz w:val="24"/>
    </w:rPr>
  </w:style>
  <w:style w:type="paragraph" w:styleId="Encabezado">
    <w:name w:val="header"/>
    <w:basedOn w:val="Normal"/>
    <w:link w:val="EncabezadoCar"/>
    <w:uiPriority w:val="99"/>
    <w:unhideWhenUsed/>
    <w:rsid w:val="00CB24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46A"/>
    <w:rPr>
      <w:rFonts w:ascii="Arial" w:hAnsi="Arial"/>
      <w:sz w:val="24"/>
    </w:rPr>
  </w:style>
  <w:style w:type="paragraph" w:styleId="Piedepgina">
    <w:name w:val="footer"/>
    <w:basedOn w:val="Normal"/>
    <w:link w:val="PiedepginaCar"/>
    <w:uiPriority w:val="99"/>
    <w:unhideWhenUsed/>
    <w:rsid w:val="00CB24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46A"/>
    <w:rPr>
      <w:rFonts w:ascii="Arial" w:hAnsi="Arial"/>
      <w:sz w:val="24"/>
    </w:rPr>
  </w:style>
  <w:style w:type="table" w:styleId="Tablaconcuadrcula">
    <w:name w:val="Table Grid"/>
    <w:basedOn w:val="Tablanormal"/>
    <w:uiPriority w:val="39"/>
    <w:rsid w:val="00CB246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B246A"/>
    <w:pPr>
      <w:spacing w:after="120" w:line="240" w:lineRule="auto"/>
      <w:jc w:val="center"/>
    </w:pPr>
    <w:rPr>
      <w:rFonts w:eastAsia="Times New Roman" w:cs="Times New Roman"/>
      <w:b/>
      <w:szCs w:val="20"/>
      <w:lang w:val="es-ES_tradnl" w:eastAsia="es-ES"/>
    </w:rPr>
  </w:style>
  <w:style w:type="character" w:customStyle="1" w:styleId="TtuloCar">
    <w:name w:val="Título Car"/>
    <w:basedOn w:val="Fuentedeprrafopredeter"/>
    <w:link w:val="Ttulo"/>
    <w:rsid w:val="00CB246A"/>
    <w:rPr>
      <w:rFonts w:ascii="Arial" w:eastAsia="Times New Roman" w:hAnsi="Arial" w:cs="Times New Roman"/>
      <w:b/>
      <w:sz w:val="24"/>
      <w:szCs w:val="20"/>
      <w:lang w:val="es-ES_tradnl" w:eastAsia="es-ES"/>
    </w:rPr>
  </w:style>
  <w:style w:type="character" w:styleId="Refdecomentario">
    <w:name w:val="annotation reference"/>
    <w:basedOn w:val="Fuentedeprrafopredeter"/>
    <w:uiPriority w:val="99"/>
    <w:semiHidden/>
    <w:unhideWhenUsed/>
    <w:rsid w:val="00CB246A"/>
    <w:rPr>
      <w:sz w:val="16"/>
      <w:szCs w:val="16"/>
    </w:rPr>
  </w:style>
  <w:style w:type="paragraph" w:styleId="Textocomentario">
    <w:name w:val="annotation text"/>
    <w:basedOn w:val="Normal"/>
    <w:link w:val="TextocomentarioCar"/>
    <w:uiPriority w:val="99"/>
    <w:semiHidden/>
    <w:unhideWhenUsed/>
    <w:rsid w:val="00CB246A"/>
    <w:pPr>
      <w:spacing w:after="0" w:line="240" w:lineRule="auto"/>
    </w:pPr>
    <w:rPr>
      <w:rFonts w:asciiTheme="minorHAnsi" w:hAnsiTheme="minorHAnsi"/>
      <w:sz w:val="20"/>
      <w:szCs w:val="20"/>
      <w:lang w:val="en-US"/>
    </w:rPr>
  </w:style>
  <w:style w:type="character" w:customStyle="1" w:styleId="TextocomentarioCar">
    <w:name w:val="Texto comentario Car"/>
    <w:basedOn w:val="Fuentedeprrafopredeter"/>
    <w:link w:val="Textocomentario"/>
    <w:uiPriority w:val="99"/>
    <w:semiHidden/>
    <w:rsid w:val="00CB246A"/>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B246A"/>
    <w:rPr>
      <w:b/>
      <w:bCs/>
    </w:rPr>
  </w:style>
  <w:style w:type="character" w:customStyle="1" w:styleId="AsuntodelcomentarioCar">
    <w:name w:val="Asunto del comentario Car"/>
    <w:basedOn w:val="TextocomentarioCar"/>
    <w:link w:val="Asuntodelcomentario"/>
    <w:uiPriority w:val="99"/>
    <w:semiHidden/>
    <w:rsid w:val="00CB246A"/>
    <w:rPr>
      <w:b/>
      <w:bCs/>
      <w:sz w:val="20"/>
      <w:szCs w:val="20"/>
      <w:lang w:val="en-US"/>
    </w:rPr>
  </w:style>
  <w:style w:type="paragraph" w:styleId="Textodeglobo">
    <w:name w:val="Balloon Text"/>
    <w:basedOn w:val="Normal"/>
    <w:link w:val="TextodegloboCar"/>
    <w:uiPriority w:val="99"/>
    <w:semiHidden/>
    <w:unhideWhenUsed/>
    <w:rsid w:val="00CB246A"/>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CB246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4488</Words>
  <Characters>24685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VANESSA DURAN ALAMILLA</dc:creator>
  <cp:keywords/>
  <dc:description/>
  <cp:lastModifiedBy>ALEJANDRA VANESSA DURAN ALAMILLA</cp:lastModifiedBy>
  <cp:revision>2</cp:revision>
  <dcterms:created xsi:type="dcterms:W3CDTF">2019-11-25T19:29:00Z</dcterms:created>
  <dcterms:modified xsi:type="dcterms:W3CDTF">2019-11-25T19:33:00Z</dcterms:modified>
</cp:coreProperties>
</file>