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5A97" w14:textId="77777777" w:rsidR="00CD24BC" w:rsidRDefault="00CD24BC" w:rsidP="009C1F1D">
      <w:pPr>
        <w:widowControl w:val="0"/>
        <w:spacing w:after="0" w:line="360" w:lineRule="auto"/>
        <w:jc w:val="both"/>
        <w:outlineLvl w:val="0"/>
        <w:rPr>
          <w:rFonts w:ascii="Arial" w:eastAsia="Arial" w:hAnsi="Arial"/>
          <w:b/>
          <w:sz w:val="20"/>
          <w:szCs w:val="20"/>
          <w:lang w:val="es-ES" w:eastAsia="es-MX"/>
        </w:rPr>
      </w:pPr>
    </w:p>
    <w:bookmarkStart w:id="0" w:name="_Hlk188868066"/>
    <w:p w14:paraId="5C4C6DD6" w14:textId="77777777" w:rsidR="00CD24BC" w:rsidRPr="00AC6F52" w:rsidRDefault="00CD24BC" w:rsidP="00CD24BC">
      <w:pPr>
        <w:spacing w:line="360" w:lineRule="auto"/>
        <w:jc w:val="center"/>
        <w:rPr>
          <w:rFonts w:ascii="Arial" w:hAnsi="Arial"/>
          <w:b/>
          <w:bCs/>
        </w:rPr>
        <w:sectPr w:rsidR="00CD24BC" w:rsidRPr="00AC6F52" w:rsidSect="00CD24BC">
          <w:headerReference w:type="default" r:id="rId8"/>
          <w:footerReference w:type="even" r:id="rId9"/>
          <w:footerReference w:type="default" r:id="rId10"/>
          <w:pgSz w:w="12240" w:h="15840" w:code="1"/>
          <w:pgMar w:top="1701" w:right="1134" w:bottom="1418" w:left="1985" w:header="720" w:footer="720" w:gutter="0"/>
          <w:pgNumType w:start="0"/>
          <w:cols w:space="720"/>
          <w:titlePg/>
          <w:docGrid w:linePitch="299"/>
        </w:sectPr>
      </w:pPr>
      <w:r w:rsidRPr="00AC6F52">
        <w:rPr>
          <w:rFonts w:ascii="Arial" w:hAnsi="Arial"/>
          <w:b/>
          <w:bCs/>
          <w:noProof/>
          <w:lang w:eastAsia="es-MX"/>
        </w:rPr>
        <mc:AlternateContent>
          <mc:Choice Requires="wps">
            <w:drawing>
              <wp:anchor distT="0" distB="0" distL="114300" distR="114300" simplePos="0" relativeHeight="251663360" behindDoc="0" locked="0" layoutInCell="1" allowOverlap="1" wp14:anchorId="7B1E9C08" wp14:editId="6054D152">
                <wp:simplePos x="0" y="0"/>
                <wp:positionH relativeFrom="column">
                  <wp:posOffset>2713990</wp:posOffset>
                </wp:positionH>
                <wp:positionV relativeFrom="paragraph">
                  <wp:posOffset>7618095</wp:posOffset>
                </wp:positionV>
                <wp:extent cx="3294985" cy="404037"/>
                <wp:effectExtent l="0" t="0" r="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C31A" w14:textId="77777777" w:rsidR="00CD24BC" w:rsidRPr="0088400D" w:rsidRDefault="00CD24BC" w:rsidP="00CD24B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E9C08" id="_x0000_t202" coordsize="21600,21600" o:spt="202" path="m,l,21600r21600,l21600,xe">
                <v:stroke joinstyle="miter"/>
                <v:path gradientshapeok="t" o:connecttype="rect"/>
              </v:shapetype>
              <v:shape id="Cuadro de texto 4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" filled="f" stroked="f">
                <v:textbox>
                  <w:txbxContent>
                    <w:p w14:paraId="0C76C31A" w14:textId="77777777" w:rsidR="00CD24BC" w:rsidRPr="0088400D" w:rsidRDefault="00CD24BC" w:rsidP="00CD24B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24</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2336" behindDoc="0" locked="0" layoutInCell="1" allowOverlap="1" wp14:anchorId="30EF1EB7" wp14:editId="607A29D8">
                <wp:simplePos x="0" y="0"/>
                <wp:positionH relativeFrom="column">
                  <wp:posOffset>532130</wp:posOffset>
                </wp:positionH>
                <wp:positionV relativeFrom="paragraph">
                  <wp:posOffset>5424805</wp:posOffset>
                </wp:positionV>
                <wp:extent cx="5029200" cy="1775637"/>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1BC75" w14:textId="77777777" w:rsidR="00CD24BC" w:rsidRDefault="00CD24BC" w:rsidP="00CD24BC">
                            <w:pPr>
                              <w:jc w:val="center"/>
                              <w:rPr>
                                <w:rFonts w:ascii="Century" w:hAnsi="Century"/>
                                <w:b/>
                                <w:sz w:val="30"/>
                                <w:szCs w:val="30"/>
                              </w:rPr>
                            </w:pPr>
                            <w:r>
                              <w:rPr>
                                <w:rFonts w:ascii="Century" w:hAnsi="Century"/>
                                <w:b/>
                                <w:sz w:val="30"/>
                                <w:szCs w:val="30"/>
                              </w:rPr>
                              <w:t xml:space="preserve">SECRETARÍA GENERAL DEL </w:t>
                            </w:r>
                          </w:p>
                          <w:p w14:paraId="1B27B025" w14:textId="77777777" w:rsidR="00CD24BC" w:rsidRPr="00A63A96" w:rsidRDefault="00CD24BC" w:rsidP="00CD24BC">
                            <w:pPr>
                              <w:jc w:val="center"/>
                              <w:rPr>
                                <w:rFonts w:ascii="Century" w:hAnsi="Century"/>
                                <w:b/>
                                <w:sz w:val="30"/>
                                <w:szCs w:val="30"/>
                              </w:rPr>
                            </w:pPr>
                            <w:r>
                              <w:rPr>
                                <w:rFonts w:ascii="Century" w:hAnsi="Century"/>
                                <w:b/>
                                <w:sz w:val="30"/>
                                <w:szCs w:val="30"/>
                              </w:rPr>
                              <w:t>PODER LEGISLATIVO</w:t>
                            </w:r>
                          </w:p>
                          <w:p w14:paraId="5C9D3489" w14:textId="77777777" w:rsidR="00CD24BC" w:rsidRDefault="00CD24BC" w:rsidP="00CD24BC">
                            <w:pPr>
                              <w:jc w:val="center"/>
                              <w:rPr>
                                <w:rFonts w:ascii="Century" w:hAnsi="Century"/>
                                <w:b/>
                                <w:sz w:val="26"/>
                                <w:szCs w:val="26"/>
                              </w:rPr>
                            </w:pPr>
                          </w:p>
                          <w:p w14:paraId="15F55559" w14:textId="77777777" w:rsidR="00CD24BC" w:rsidRDefault="00CD24BC" w:rsidP="00CD24B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F1EB7" id="Cuadro de texto 4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" stroked="f">
                <v:textbox>
                  <w:txbxContent>
                    <w:p w14:paraId="5B81BC75" w14:textId="77777777" w:rsidR="00CD24BC" w:rsidRDefault="00CD24BC" w:rsidP="00CD24BC">
                      <w:pPr>
                        <w:jc w:val="center"/>
                        <w:rPr>
                          <w:rFonts w:ascii="Century" w:hAnsi="Century"/>
                          <w:b/>
                          <w:sz w:val="30"/>
                          <w:szCs w:val="30"/>
                        </w:rPr>
                      </w:pPr>
                      <w:r>
                        <w:rPr>
                          <w:rFonts w:ascii="Century" w:hAnsi="Century"/>
                          <w:b/>
                          <w:sz w:val="30"/>
                          <w:szCs w:val="30"/>
                        </w:rPr>
                        <w:t xml:space="preserve">SECRETARÍA GENERAL DEL </w:t>
                      </w:r>
                    </w:p>
                    <w:p w14:paraId="1B27B025" w14:textId="77777777" w:rsidR="00CD24BC" w:rsidRPr="00A63A96" w:rsidRDefault="00CD24BC" w:rsidP="00CD24BC">
                      <w:pPr>
                        <w:jc w:val="center"/>
                        <w:rPr>
                          <w:rFonts w:ascii="Century" w:hAnsi="Century"/>
                          <w:b/>
                          <w:sz w:val="30"/>
                          <w:szCs w:val="30"/>
                        </w:rPr>
                      </w:pPr>
                      <w:r>
                        <w:rPr>
                          <w:rFonts w:ascii="Century" w:hAnsi="Century"/>
                          <w:b/>
                          <w:sz w:val="30"/>
                          <w:szCs w:val="30"/>
                        </w:rPr>
                        <w:t>PODER LEGISLATIVO</w:t>
                      </w:r>
                    </w:p>
                    <w:p w14:paraId="5C9D3489" w14:textId="77777777" w:rsidR="00CD24BC" w:rsidRDefault="00CD24BC" w:rsidP="00CD24BC">
                      <w:pPr>
                        <w:jc w:val="center"/>
                        <w:rPr>
                          <w:rFonts w:ascii="Century" w:hAnsi="Century"/>
                          <w:b/>
                          <w:sz w:val="26"/>
                          <w:szCs w:val="26"/>
                        </w:rPr>
                      </w:pPr>
                    </w:p>
                    <w:p w14:paraId="15F55559" w14:textId="77777777" w:rsidR="00CD24BC" w:rsidRDefault="00CD24BC" w:rsidP="00CD24B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1312" behindDoc="0" locked="0" layoutInCell="1" allowOverlap="1" wp14:anchorId="49A43BBA" wp14:editId="3C943CDE">
                <wp:simplePos x="0" y="0"/>
                <wp:positionH relativeFrom="column">
                  <wp:posOffset>66675</wp:posOffset>
                </wp:positionH>
                <wp:positionV relativeFrom="paragraph">
                  <wp:posOffset>2012315</wp:posOffset>
                </wp:positionV>
                <wp:extent cx="5943600" cy="3276600"/>
                <wp:effectExtent l="0" t="0" r="0" b="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33D66" w14:textId="071FBF0A" w:rsidR="00CD24BC" w:rsidRPr="00D1489C" w:rsidRDefault="00CD24BC" w:rsidP="00CD24BC">
                            <w:pPr>
                              <w:pStyle w:val="NormalWeb"/>
                              <w:spacing w:after="0" w:line="360" w:lineRule="auto"/>
                              <w:jc w:val="center"/>
                              <w:rPr>
                                <w:b/>
                                <w:sz w:val="60"/>
                                <w:szCs w:val="60"/>
                              </w:rPr>
                            </w:pPr>
                            <w:r>
                              <w:rPr>
                                <w:rFonts w:ascii="Tahoma" w:hAnsi="Tahoma" w:cs="Tahoma"/>
                                <w:b/>
                                <w:sz w:val="60"/>
                                <w:szCs w:val="60"/>
                              </w:rPr>
                              <w:t>LEY DE INGRESOS DEL MUNICIPIO DE TIXPEUAL, YUCATÁN, PARA EL EJERCICIO FISCAL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3BBA" id="Cuadro de texto 4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" stroked="f">
                <v:textbox>
                  <w:txbxContent>
                    <w:p w14:paraId="18F33D66" w14:textId="071FBF0A" w:rsidR="00CD24BC" w:rsidRPr="00D1489C" w:rsidRDefault="00CD24BC" w:rsidP="00CD24BC">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TIXPEUAL</w:t>
                      </w:r>
                      <w:r>
                        <w:rPr>
                          <w:rFonts w:ascii="Tahoma" w:hAnsi="Tahoma" w:cs="Tahoma"/>
                          <w:b/>
                          <w:sz w:val="60"/>
                          <w:szCs w:val="60"/>
                        </w:rPr>
                        <w:t>, YUCATÁN, PARA EL EJERCICIO FISCAL 2025</w:t>
                      </w:r>
                    </w:p>
                  </w:txbxContent>
                </v:textbox>
              </v:shape>
            </w:pict>
          </mc:Fallback>
        </mc:AlternateContent>
      </w:r>
      <w:r w:rsidRPr="00AC6F52">
        <w:rPr>
          <w:rFonts w:ascii="Arial" w:hAnsi="Arial"/>
          <w:b/>
          <w:bCs/>
          <w:noProof/>
          <w:lang w:eastAsia="es-MX"/>
        </w:rPr>
        <mc:AlternateContent>
          <mc:Choice Requires="wps">
            <w:drawing>
              <wp:anchor distT="0" distB="0" distL="114300" distR="114300" simplePos="0" relativeHeight="251660288" behindDoc="0" locked="0" layoutInCell="1" allowOverlap="1" wp14:anchorId="1DEFD283" wp14:editId="146BB878">
                <wp:simplePos x="0" y="0"/>
                <wp:positionH relativeFrom="column">
                  <wp:posOffset>759711</wp:posOffset>
                </wp:positionH>
                <wp:positionV relativeFrom="paragraph">
                  <wp:posOffset>-644201</wp:posOffset>
                </wp:positionV>
                <wp:extent cx="4343400" cy="2424223"/>
                <wp:effectExtent l="0" t="0" r="0" b="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D42AC" w14:textId="77777777" w:rsidR="00CD24BC" w:rsidRDefault="00CD24BC" w:rsidP="00CD24BC">
                            <w:pPr>
                              <w:jc w:val="center"/>
                              <w:rPr>
                                <w:rFonts w:ascii="CG Omega" w:hAnsi="CG Omega"/>
                                <w:sz w:val="16"/>
                              </w:rPr>
                            </w:pPr>
                            <w:r w:rsidRPr="00385D64">
                              <w:rPr>
                                <w:rFonts w:ascii="CG Omega" w:hAnsi="CG Omega"/>
                                <w:sz w:val="16"/>
                              </w:rPr>
                              <w:object w:dxaOrig="2562" w:dyaOrig="2450" w14:anchorId="4E077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1pt;height:122.5pt">
                                  <v:imagedata r:id="rId11" o:title=""/>
                                </v:shape>
                                <o:OLEObject Type="Embed" ProgID="Word.Picture.8" ShapeID="_x0000_i1027" DrawAspect="Content" ObjectID="_1799743548" r:id="rId12"/>
                              </w:object>
                            </w:r>
                          </w:p>
                          <w:p w14:paraId="0DB3851F" w14:textId="77777777" w:rsidR="00CD24BC" w:rsidRDefault="00CD24BC" w:rsidP="00CD24BC">
                            <w:pPr>
                              <w:rPr>
                                <w:rFonts w:ascii="Tahoma" w:hAnsi="Tahoma" w:cs="Tahoma"/>
                                <w:b/>
                                <w:sz w:val="16"/>
                              </w:rPr>
                            </w:pPr>
                          </w:p>
                          <w:p w14:paraId="3B06B86D" w14:textId="77777777" w:rsidR="00CD24BC" w:rsidRDefault="00CD24BC" w:rsidP="00CD24B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D283" id="Cuadro de texto 4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" filled="f" stroked="f">
                <v:textbox>
                  <w:txbxContent>
                    <w:p w14:paraId="0EBD42AC" w14:textId="77777777" w:rsidR="00CD24BC" w:rsidRDefault="00CD24BC" w:rsidP="00CD24BC">
                      <w:pPr>
                        <w:jc w:val="center"/>
                        <w:rPr>
                          <w:rFonts w:ascii="CG Omega" w:hAnsi="CG Omega"/>
                          <w:sz w:val="16"/>
                        </w:rPr>
                      </w:pPr>
                      <w:r w:rsidRPr="00385D64">
                        <w:rPr>
                          <w:rFonts w:ascii="CG Omega" w:hAnsi="CG Omega"/>
                          <w:sz w:val="16"/>
                        </w:rPr>
                        <w:object w:dxaOrig="2558" w:dyaOrig="2450" w14:anchorId="4E07726B">
                          <v:shape id="_x0000_i1025" type="#_x0000_t75" style="width:128.1pt;height:122.5pt">
                            <v:imagedata r:id="rId13" o:title=""/>
                          </v:shape>
                          <o:OLEObject Type="Embed" ProgID="Word.Picture.8" ShapeID="_x0000_i1025" DrawAspect="Content" ObjectID="_1799580713" r:id="rId14"/>
                        </w:object>
                      </w:r>
                    </w:p>
                    <w:p w14:paraId="0DB3851F" w14:textId="77777777" w:rsidR="00CD24BC" w:rsidRDefault="00CD24BC" w:rsidP="00CD24BC">
                      <w:pPr>
                        <w:rPr>
                          <w:rFonts w:ascii="Tahoma" w:hAnsi="Tahoma" w:cs="Tahoma"/>
                          <w:b/>
                          <w:sz w:val="16"/>
                        </w:rPr>
                      </w:pPr>
                    </w:p>
                    <w:p w14:paraId="3B06B86D" w14:textId="77777777" w:rsidR="00CD24BC" w:rsidRDefault="00CD24BC" w:rsidP="00CD24B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C6F52">
        <w:rPr>
          <w:rFonts w:ascii="Arial" w:hAnsi="Arial"/>
          <w:b/>
          <w:bCs/>
          <w:noProof/>
          <w:lang w:eastAsia="es-MX"/>
        </w:rPr>
        <mc:AlternateContent>
          <mc:Choice Requires="wpg">
            <w:drawing>
              <wp:anchor distT="0" distB="0" distL="114300" distR="114300" simplePos="0" relativeHeight="251659264" behindDoc="0" locked="0" layoutInCell="1" allowOverlap="1" wp14:anchorId="03909503" wp14:editId="5CB13728">
                <wp:simplePos x="0" y="0"/>
                <wp:positionH relativeFrom="column">
                  <wp:posOffset>-502285</wp:posOffset>
                </wp:positionH>
                <wp:positionV relativeFrom="paragraph">
                  <wp:posOffset>-873125</wp:posOffset>
                </wp:positionV>
                <wp:extent cx="6515100" cy="9372600"/>
                <wp:effectExtent l="0" t="0" r="3810" b="254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ACDD9" id="Grupo 4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BX8pwv1gIAAP8LAAAOAAAAAAAAAAAAAAAAAC4C&#10;AABkcnMvZTJvRG9jLnhtbFBLAQItABQABgAIAAAAIQCd5gZn5AAAAA0BAAAPAAAAAAAAAAAAAAAA&#10;ADAFAABkcnMvZG93bnJldi54bWxQSwUGAAAAAAQABADzAAAAQQ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" fillcolor="silver" stroked="f" strokecolor="silver"/>
              </v:group>
            </w:pict>
          </mc:Fallback>
        </mc:AlternateContent>
      </w:r>
    </w:p>
    <w:p w14:paraId="3B3DF7CB" w14:textId="77777777" w:rsidR="00CD24BC" w:rsidRDefault="00CD24BC" w:rsidP="00CD24B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bookmarkStart w:id="1" w:name="_Hlk188868107"/>
      <w:bookmarkEnd w:id="0"/>
      <w:r w:rsidRPr="0076165F">
        <w:rPr>
          <w:rFonts w:ascii="Arial" w:eastAsia="Arial" w:hAnsi="Arial"/>
          <w:b/>
          <w:lang w:eastAsia="es-ES" w:bidi="es-ES"/>
        </w:rPr>
        <w:lastRenderedPageBreak/>
        <w:t xml:space="preserve">Decreto 30/2024 por el que se aprueban las leyes de ingresos de los municipios de Abalá, Acanceh, </w:t>
      </w:r>
      <w:proofErr w:type="spellStart"/>
      <w:r w:rsidRPr="0076165F">
        <w:rPr>
          <w:rFonts w:ascii="Arial" w:eastAsia="Arial" w:hAnsi="Arial"/>
          <w:b/>
          <w:lang w:eastAsia="es-ES" w:bidi="es-ES"/>
        </w:rPr>
        <w:t>Akil</w:t>
      </w:r>
      <w:proofErr w:type="spellEnd"/>
      <w:r w:rsidRPr="0076165F">
        <w:rPr>
          <w:rFonts w:ascii="Arial" w:eastAsia="Arial" w:hAnsi="Arial"/>
          <w:b/>
          <w:lang w:eastAsia="es-ES" w:bidi="es-ES"/>
        </w:rPr>
        <w:t xml:space="preserve">, Bokobá, </w:t>
      </w:r>
      <w:proofErr w:type="spellStart"/>
      <w:r w:rsidRPr="0076165F">
        <w:rPr>
          <w:rFonts w:ascii="Arial" w:eastAsia="Arial" w:hAnsi="Arial"/>
          <w:b/>
          <w:lang w:eastAsia="es-ES" w:bidi="es-ES"/>
        </w:rPr>
        <w:t>Buctzotz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Cacalchén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Calotmul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Cansahcab</w:t>
      </w:r>
      <w:proofErr w:type="spellEnd"/>
      <w:r w:rsidRPr="0076165F">
        <w:rPr>
          <w:rFonts w:ascii="Arial" w:eastAsia="Arial" w:hAnsi="Arial"/>
          <w:b/>
          <w:lang w:eastAsia="es-ES" w:bidi="es-ES"/>
        </w:rPr>
        <w:t xml:space="preserve">, Celestún, Conkal, </w:t>
      </w:r>
      <w:proofErr w:type="spellStart"/>
      <w:r w:rsidRPr="0076165F">
        <w:rPr>
          <w:rFonts w:ascii="Arial" w:eastAsia="Arial" w:hAnsi="Arial"/>
          <w:b/>
          <w:lang w:eastAsia="es-ES" w:bidi="es-ES"/>
        </w:rPr>
        <w:t>Cuncunul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Chacsinkín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Chankom</w:t>
      </w:r>
      <w:proofErr w:type="spellEnd"/>
      <w:r w:rsidRPr="0076165F">
        <w:rPr>
          <w:rFonts w:ascii="Arial" w:eastAsia="Arial" w:hAnsi="Arial"/>
          <w:b/>
          <w:lang w:eastAsia="es-ES" w:bidi="es-ES"/>
        </w:rPr>
        <w:t xml:space="preserve">, Chemax, </w:t>
      </w:r>
      <w:proofErr w:type="spellStart"/>
      <w:r w:rsidRPr="0076165F">
        <w:rPr>
          <w:rFonts w:ascii="Arial" w:eastAsia="Arial" w:hAnsi="Arial"/>
          <w:b/>
          <w:lang w:eastAsia="es-ES" w:bidi="es-ES"/>
        </w:rPr>
        <w:t>Chichimilá</w:t>
      </w:r>
      <w:proofErr w:type="spellEnd"/>
      <w:r w:rsidRPr="0076165F">
        <w:rPr>
          <w:rFonts w:ascii="Arial" w:eastAsia="Arial" w:hAnsi="Arial"/>
          <w:b/>
          <w:lang w:eastAsia="es-ES" w:bidi="es-ES"/>
        </w:rPr>
        <w:t xml:space="preserve">, Chicxulub Pueblo, </w:t>
      </w:r>
      <w:proofErr w:type="spellStart"/>
      <w:r w:rsidRPr="0076165F">
        <w:rPr>
          <w:rFonts w:ascii="Arial" w:eastAsia="Arial" w:hAnsi="Arial"/>
          <w:b/>
          <w:lang w:eastAsia="es-ES" w:bidi="es-ES"/>
        </w:rPr>
        <w:t>Chikindzonot</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Chumayel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Dzidzantún</w:t>
      </w:r>
      <w:proofErr w:type="spellEnd"/>
      <w:r w:rsidRPr="0076165F">
        <w:rPr>
          <w:rFonts w:ascii="Arial" w:eastAsia="Arial" w:hAnsi="Arial"/>
          <w:b/>
          <w:lang w:eastAsia="es-ES" w:bidi="es-ES"/>
        </w:rPr>
        <w:t xml:space="preserve">, Dzilam de Bravo, </w:t>
      </w:r>
      <w:proofErr w:type="spellStart"/>
      <w:r w:rsidRPr="0076165F">
        <w:rPr>
          <w:rFonts w:ascii="Arial" w:eastAsia="Arial" w:hAnsi="Arial"/>
          <w:b/>
          <w:lang w:eastAsia="es-ES" w:bidi="es-ES"/>
        </w:rPr>
        <w:t>Dzoncauich</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Hocabá</w:t>
      </w:r>
      <w:proofErr w:type="spellEnd"/>
      <w:r w:rsidRPr="0076165F">
        <w:rPr>
          <w:rFonts w:ascii="Arial" w:eastAsia="Arial" w:hAnsi="Arial"/>
          <w:b/>
          <w:lang w:eastAsia="es-ES" w:bidi="es-ES"/>
        </w:rPr>
        <w:t xml:space="preserve">, Hoctún, Kanasín, </w:t>
      </w:r>
      <w:proofErr w:type="spellStart"/>
      <w:r w:rsidRPr="0076165F">
        <w:rPr>
          <w:rFonts w:ascii="Arial" w:eastAsia="Arial" w:hAnsi="Arial"/>
          <w:b/>
          <w:lang w:eastAsia="es-ES" w:bidi="es-ES"/>
        </w:rPr>
        <w:t>Kaua</w:t>
      </w:r>
      <w:proofErr w:type="spellEnd"/>
      <w:r w:rsidRPr="0076165F">
        <w:rPr>
          <w:rFonts w:ascii="Arial" w:eastAsia="Arial" w:hAnsi="Arial"/>
          <w:b/>
          <w:lang w:eastAsia="es-ES" w:bidi="es-ES"/>
        </w:rPr>
        <w:t xml:space="preserve">, Mama, Maxcanú, Motul, </w:t>
      </w:r>
      <w:proofErr w:type="spellStart"/>
      <w:r w:rsidRPr="0076165F">
        <w:rPr>
          <w:rFonts w:ascii="Arial" w:eastAsia="Arial" w:hAnsi="Arial"/>
          <w:b/>
          <w:lang w:eastAsia="es-ES" w:bidi="es-ES"/>
        </w:rPr>
        <w:t>Muxupip</w:t>
      </w:r>
      <w:proofErr w:type="spellEnd"/>
      <w:r w:rsidRPr="0076165F">
        <w:rPr>
          <w:rFonts w:ascii="Arial" w:eastAsia="Arial" w:hAnsi="Arial"/>
          <w:b/>
          <w:lang w:eastAsia="es-ES" w:bidi="es-ES"/>
        </w:rPr>
        <w:t xml:space="preserve">, Quintana Roo, Río Lagartos, </w:t>
      </w:r>
      <w:proofErr w:type="spellStart"/>
      <w:r w:rsidRPr="0076165F">
        <w:rPr>
          <w:rFonts w:ascii="Arial" w:eastAsia="Arial" w:hAnsi="Arial"/>
          <w:b/>
          <w:lang w:eastAsia="es-ES" w:bidi="es-ES"/>
        </w:rPr>
        <w:t>Samahil</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Sanahcat</w:t>
      </w:r>
      <w:proofErr w:type="spellEnd"/>
      <w:r w:rsidRPr="0076165F">
        <w:rPr>
          <w:rFonts w:ascii="Arial" w:eastAsia="Arial" w:hAnsi="Arial"/>
          <w:b/>
          <w:lang w:eastAsia="es-ES" w:bidi="es-ES"/>
        </w:rPr>
        <w:t xml:space="preserve">, San Felipe, </w:t>
      </w:r>
      <w:proofErr w:type="spellStart"/>
      <w:r w:rsidRPr="0076165F">
        <w:rPr>
          <w:rFonts w:ascii="Arial" w:eastAsia="Arial" w:hAnsi="Arial"/>
          <w:b/>
          <w:lang w:eastAsia="es-ES" w:bidi="es-ES"/>
        </w:rPr>
        <w:t>Seyé</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Sinanché</w:t>
      </w:r>
      <w:proofErr w:type="spellEnd"/>
      <w:r w:rsidRPr="0076165F">
        <w:rPr>
          <w:rFonts w:ascii="Arial" w:eastAsia="Arial" w:hAnsi="Arial"/>
          <w:b/>
          <w:lang w:eastAsia="es-ES" w:bidi="es-ES"/>
        </w:rPr>
        <w:t xml:space="preserve">, Sotuta, </w:t>
      </w:r>
      <w:proofErr w:type="spellStart"/>
      <w:r w:rsidRPr="0076165F">
        <w:rPr>
          <w:rFonts w:ascii="Arial" w:eastAsia="Arial" w:hAnsi="Arial"/>
          <w:b/>
          <w:lang w:eastAsia="es-ES" w:bidi="es-ES"/>
        </w:rPr>
        <w:t>Tahdziú</w:t>
      </w:r>
      <w:proofErr w:type="spellEnd"/>
      <w:r w:rsidRPr="0076165F">
        <w:rPr>
          <w:rFonts w:ascii="Arial" w:eastAsia="Arial" w:hAnsi="Arial"/>
          <w:b/>
          <w:lang w:eastAsia="es-ES" w:bidi="es-ES"/>
        </w:rPr>
        <w:t xml:space="preserve">, Tekal de Venegas, </w:t>
      </w:r>
      <w:proofErr w:type="spellStart"/>
      <w:r w:rsidRPr="0076165F">
        <w:rPr>
          <w:rFonts w:ascii="Arial" w:eastAsia="Arial" w:hAnsi="Arial"/>
          <w:b/>
          <w:lang w:eastAsia="es-ES" w:bidi="es-ES"/>
        </w:rPr>
        <w:t>Tekantó</w:t>
      </w:r>
      <w:proofErr w:type="spellEnd"/>
      <w:r w:rsidRPr="0076165F">
        <w:rPr>
          <w:rFonts w:ascii="Arial" w:eastAsia="Arial" w:hAnsi="Arial"/>
          <w:b/>
          <w:lang w:eastAsia="es-ES" w:bidi="es-ES"/>
        </w:rPr>
        <w:t xml:space="preserve">, Tekax, Telchac Pueblo, Telchac Puerto, </w:t>
      </w:r>
      <w:proofErr w:type="spellStart"/>
      <w:r w:rsidRPr="0076165F">
        <w:rPr>
          <w:rFonts w:ascii="Arial" w:eastAsia="Arial" w:hAnsi="Arial"/>
          <w:b/>
          <w:lang w:eastAsia="es-ES" w:bidi="es-ES"/>
        </w:rPr>
        <w:t>Temax</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Tepakán</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Tetiz</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Timucuy</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Tinum</w:t>
      </w:r>
      <w:proofErr w:type="spellEnd"/>
      <w:r w:rsidRPr="0076165F">
        <w:rPr>
          <w:rFonts w:ascii="Arial" w:eastAsia="Arial" w:hAnsi="Arial"/>
          <w:b/>
          <w:lang w:eastAsia="es-ES" w:bidi="es-ES"/>
        </w:rPr>
        <w:t xml:space="preserve">, </w:t>
      </w:r>
      <w:proofErr w:type="spellStart"/>
      <w:r w:rsidRPr="0076165F">
        <w:rPr>
          <w:rFonts w:ascii="Arial" w:eastAsia="Arial" w:hAnsi="Arial"/>
          <w:b/>
          <w:lang w:eastAsia="es-ES" w:bidi="es-ES"/>
        </w:rPr>
        <w:t>Tixpéual</w:t>
      </w:r>
      <w:proofErr w:type="spellEnd"/>
      <w:r w:rsidRPr="0076165F">
        <w:rPr>
          <w:rFonts w:ascii="Arial" w:eastAsia="Arial" w:hAnsi="Arial"/>
          <w:b/>
          <w:lang w:eastAsia="es-ES" w:bidi="es-ES"/>
        </w:rPr>
        <w:t xml:space="preserve"> y </w:t>
      </w:r>
      <w:proofErr w:type="spellStart"/>
      <w:r w:rsidRPr="0076165F">
        <w:rPr>
          <w:rFonts w:ascii="Arial" w:eastAsia="Arial" w:hAnsi="Arial"/>
          <w:b/>
          <w:lang w:eastAsia="es-ES" w:bidi="es-ES"/>
        </w:rPr>
        <w:t>Uayma</w:t>
      </w:r>
      <w:proofErr w:type="spellEnd"/>
      <w:r w:rsidRPr="0076165F">
        <w:rPr>
          <w:rFonts w:ascii="Arial" w:eastAsia="Arial" w:hAnsi="Arial"/>
          <w:b/>
          <w:lang w:eastAsia="es-ES" w:bidi="es-ES"/>
        </w:rPr>
        <w:t xml:space="preserve">, todos del Estado de Yucatán, para el Ejercicio Fiscal 2025 </w:t>
      </w:r>
    </w:p>
    <w:p w14:paraId="535807C7" w14:textId="77777777" w:rsidR="00CD24BC" w:rsidRDefault="00CD24BC" w:rsidP="00CD24BC">
      <w:pPr>
        <w:widowControl w:val="0"/>
        <w:tabs>
          <w:tab w:val="left" w:pos="8280"/>
          <w:tab w:val="left" w:pos="9310"/>
        </w:tabs>
        <w:autoSpaceDE w:val="0"/>
        <w:autoSpaceDN w:val="0"/>
        <w:adjustRightInd w:val="0"/>
        <w:spacing w:after="0" w:line="240" w:lineRule="auto"/>
        <w:ind w:right="-51"/>
        <w:jc w:val="both"/>
        <w:rPr>
          <w:rFonts w:ascii="Arial" w:eastAsia="Arial" w:hAnsi="Arial"/>
          <w:b/>
          <w:lang w:eastAsia="es-ES" w:bidi="es-ES"/>
        </w:rPr>
      </w:pPr>
    </w:p>
    <w:p w14:paraId="732F3FBF" w14:textId="77777777" w:rsidR="00CD24BC" w:rsidRPr="0076165F" w:rsidRDefault="00CD24BC" w:rsidP="00CD24BC">
      <w:pPr>
        <w:widowControl w:val="0"/>
        <w:tabs>
          <w:tab w:val="left" w:pos="8280"/>
          <w:tab w:val="left" w:pos="9310"/>
        </w:tabs>
        <w:autoSpaceDE w:val="0"/>
        <w:autoSpaceDN w:val="0"/>
        <w:adjustRightInd w:val="0"/>
        <w:spacing w:after="0" w:line="240" w:lineRule="auto"/>
        <w:ind w:right="-51"/>
        <w:jc w:val="both"/>
        <w:rPr>
          <w:rFonts w:ascii="Arial" w:eastAsia="Arial" w:hAnsi="Arial"/>
          <w:bCs/>
          <w:lang w:val="es-ES" w:eastAsia="es-ES" w:bidi="es-ES"/>
        </w:rPr>
      </w:pPr>
      <w:r w:rsidRPr="0076165F">
        <w:rPr>
          <w:rFonts w:ascii="Arial" w:eastAsia="Arial" w:hAnsi="Arial"/>
          <w:bCs/>
          <w:lang w:eastAsia="es-ES" w:bidi="es-ES"/>
        </w:rPr>
        <w:t>Joaquín Jesús Díaz Mena,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6AD7626"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79A8211" w14:textId="77777777" w:rsidR="00CD24BC" w:rsidRPr="0076165F" w:rsidRDefault="00CD24BC" w:rsidP="00CD24BC">
      <w:pPr>
        <w:tabs>
          <w:tab w:val="right" w:pos="8498"/>
        </w:tabs>
        <w:spacing w:after="0" w:line="240" w:lineRule="auto"/>
        <w:jc w:val="both"/>
        <w:rPr>
          <w:rFonts w:ascii="Arial" w:eastAsia="Times New Roman" w:hAnsi="Arial" w:cs="Times New Roman"/>
          <w:b/>
          <w:sz w:val="24"/>
          <w:szCs w:val="24"/>
          <w:lang w:val="es-ES" w:eastAsia="es-ES"/>
        </w:rPr>
      </w:pPr>
      <w:r w:rsidRPr="0076165F">
        <w:rPr>
          <w:rFonts w:ascii="Arial" w:eastAsia="Times New Roman" w:hAnsi="Arial" w:cs="Times New Roman"/>
          <w:b/>
          <w:sz w:val="24"/>
          <w:szCs w:val="24"/>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D7CC686" w14:textId="77777777" w:rsidR="00CD24BC" w:rsidRPr="0076165F" w:rsidRDefault="00CD24BC" w:rsidP="00CD24BC">
      <w:pPr>
        <w:tabs>
          <w:tab w:val="left" w:pos="3975"/>
        </w:tabs>
        <w:spacing w:after="0" w:line="360" w:lineRule="auto"/>
        <w:ind w:firstLine="709"/>
        <w:jc w:val="both"/>
        <w:rPr>
          <w:rFonts w:ascii="Times New Roman" w:eastAsia="Times New Roman" w:hAnsi="Times New Roman" w:cs="Times New Roman"/>
          <w:color w:val="000000"/>
          <w:sz w:val="24"/>
          <w:szCs w:val="24"/>
          <w:lang w:val="es-ES" w:eastAsia="es-ES"/>
        </w:rPr>
      </w:pPr>
      <w:r w:rsidRPr="0076165F">
        <w:rPr>
          <w:rFonts w:ascii="Times New Roman" w:eastAsia="Times New Roman" w:hAnsi="Times New Roman" w:cs="Times New Roman"/>
          <w:color w:val="000000"/>
          <w:sz w:val="24"/>
          <w:szCs w:val="24"/>
          <w:lang w:val="es-ES" w:eastAsia="es-ES"/>
        </w:rPr>
        <w:tab/>
      </w:r>
    </w:p>
    <w:p w14:paraId="36D908BA" w14:textId="77777777" w:rsidR="00CD24BC" w:rsidRPr="0076165F" w:rsidRDefault="00CD24BC" w:rsidP="00CD24BC">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76165F">
        <w:rPr>
          <w:rFonts w:ascii="Arial" w:eastAsia="Times New Roman" w:hAnsi="Arial"/>
          <w:b/>
          <w:color w:val="000000"/>
          <w:sz w:val="24"/>
          <w:szCs w:val="24"/>
          <w:lang w:val="pt-BR" w:eastAsia="ar-SA"/>
        </w:rPr>
        <w:t>E X P O S I C I Ó N   D E   M O T I V O S</w:t>
      </w:r>
    </w:p>
    <w:p w14:paraId="3F309FC3" w14:textId="77777777" w:rsidR="00CD24BC" w:rsidRPr="0076165F" w:rsidRDefault="00CD24BC" w:rsidP="00CD24BC">
      <w:pPr>
        <w:spacing w:after="0" w:line="360" w:lineRule="auto"/>
        <w:ind w:firstLine="709"/>
        <w:jc w:val="both"/>
        <w:rPr>
          <w:rFonts w:ascii="Arial" w:eastAsia="Times New Roman" w:hAnsi="Arial"/>
          <w:sz w:val="24"/>
          <w:szCs w:val="24"/>
          <w:lang w:val="pt-BR" w:eastAsia="es-ES"/>
        </w:rPr>
      </w:pPr>
    </w:p>
    <w:p w14:paraId="476DCDA9" w14:textId="77777777" w:rsidR="00CD24BC" w:rsidRPr="0076165F" w:rsidRDefault="00CD24BC" w:rsidP="00CD24BC">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t>PRIMERA.</w:t>
      </w:r>
      <w:r w:rsidRPr="0076165F">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6165F">
        <w:rPr>
          <w:rFonts w:ascii="Arial" w:eastAsia="Times New Roman" w:hAnsi="Arial"/>
          <w:sz w:val="24"/>
          <w:szCs w:val="24"/>
          <w:lang w:val="es-ES" w:eastAsia="es-ES"/>
        </w:rPr>
        <w:t xml:space="preserve">, </w:t>
      </w:r>
      <w:r w:rsidRPr="0076165F">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2025, y dado el principio jurídico “</w:t>
      </w:r>
      <w:proofErr w:type="spellStart"/>
      <w:r w:rsidRPr="0076165F">
        <w:rPr>
          <w:rFonts w:ascii="Arial" w:eastAsia="Times New Roman" w:hAnsi="Arial"/>
          <w:iCs/>
          <w:sz w:val="24"/>
          <w:szCs w:val="24"/>
          <w:lang w:val="es-ES" w:eastAsia="es-ES"/>
        </w:rPr>
        <w:t>nullum</w:t>
      </w:r>
      <w:proofErr w:type="spellEnd"/>
      <w:r w:rsidRPr="0076165F">
        <w:rPr>
          <w:rFonts w:ascii="Arial" w:eastAsia="Times New Roman" w:hAnsi="Arial"/>
          <w:iCs/>
          <w:sz w:val="24"/>
          <w:szCs w:val="24"/>
          <w:lang w:val="es-ES" w:eastAsia="es-ES"/>
        </w:rPr>
        <w:t xml:space="preserve"> </w:t>
      </w:r>
      <w:proofErr w:type="spellStart"/>
      <w:r w:rsidRPr="0076165F">
        <w:rPr>
          <w:rFonts w:ascii="Arial" w:eastAsia="Times New Roman" w:hAnsi="Arial"/>
          <w:iCs/>
          <w:sz w:val="24"/>
          <w:szCs w:val="24"/>
          <w:lang w:val="es-ES" w:eastAsia="es-ES"/>
        </w:rPr>
        <w:t>tributum</w:t>
      </w:r>
      <w:proofErr w:type="spellEnd"/>
      <w:r w:rsidRPr="0076165F">
        <w:rPr>
          <w:rFonts w:ascii="Arial" w:eastAsia="Times New Roman" w:hAnsi="Arial"/>
          <w:iCs/>
          <w:sz w:val="24"/>
          <w:szCs w:val="24"/>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A77B3B8" w14:textId="77777777" w:rsidR="00CD24BC" w:rsidRPr="0076165F" w:rsidRDefault="00CD24BC" w:rsidP="00CD24BC">
      <w:pPr>
        <w:spacing w:after="0" w:line="360" w:lineRule="auto"/>
        <w:ind w:firstLine="540"/>
        <w:jc w:val="both"/>
        <w:rPr>
          <w:rFonts w:ascii="Arial" w:eastAsia="Times New Roman" w:hAnsi="Arial"/>
          <w:iCs/>
          <w:sz w:val="24"/>
          <w:szCs w:val="24"/>
          <w:lang w:val="es-ES" w:eastAsia="es-ES"/>
        </w:rPr>
      </w:pPr>
    </w:p>
    <w:p w14:paraId="3D368631" w14:textId="77777777" w:rsidR="00CD24BC" w:rsidRPr="0076165F" w:rsidRDefault="00CD24BC" w:rsidP="00CD24BC">
      <w:pPr>
        <w:spacing w:after="0" w:line="360" w:lineRule="auto"/>
        <w:jc w:val="both"/>
        <w:rPr>
          <w:rFonts w:ascii="Arial" w:eastAsia="Times New Roman" w:hAnsi="Arial"/>
          <w:iCs/>
          <w:sz w:val="24"/>
          <w:szCs w:val="24"/>
          <w:lang w:val="es-ES" w:eastAsia="es-ES"/>
        </w:rPr>
      </w:pPr>
      <w:r w:rsidRPr="0076165F">
        <w:rPr>
          <w:rFonts w:ascii="Arial" w:eastAsia="Times New Roman" w:hAnsi="Arial"/>
          <w:b/>
          <w:iCs/>
          <w:sz w:val="24"/>
          <w:szCs w:val="24"/>
          <w:lang w:val="es-ES" w:eastAsia="es-ES"/>
        </w:rPr>
        <w:lastRenderedPageBreak/>
        <w:t>SEGUNDA.</w:t>
      </w:r>
      <w:r w:rsidRPr="0076165F">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iCs/>
              <w:sz w:val="24"/>
              <w:szCs w:val="24"/>
              <w:lang w:val="es-ES" w:eastAsia="es-ES"/>
            </w:rPr>
            <w:t>la Constitución</w:t>
          </w:r>
        </w:smartTag>
        <w:r w:rsidRPr="0076165F">
          <w:rPr>
            <w:rFonts w:ascii="Arial" w:eastAsia="Times New Roman" w:hAnsi="Arial"/>
            <w:iCs/>
            <w:sz w:val="24"/>
            <w:szCs w:val="24"/>
            <w:lang w:val="es-ES" w:eastAsia="es-ES"/>
          </w:rPr>
          <w:t xml:space="preserve"> Política</w:t>
        </w:r>
      </w:smartTag>
      <w:r w:rsidRPr="0076165F">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FC6D24D" w14:textId="77777777" w:rsidR="00CD24BC" w:rsidRPr="0076165F" w:rsidRDefault="00CD24BC" w:rsidP="00CD24BC">
      <w:pPr>
        <w:spacing w:after="0" w:line="360" w:lineRule="auto"/>
        <w:ind w:firstLine="709"/>
        <w:jc w:val="both"/>
        <w:rPr>
          <w:rFonts w:ascii="Arial" w:eastAsia="Times New Roman" w:hAnsi="Arial"/>
          <w:iCs/>
          <w:sz w:val="24"/>
          <w:szCs w:val="24"/>
          <w:lang w:val="es-ES" w:eastAsia="es-ES"/>
        </w:rPr>
      </w:pPr>
    </w:p>
    <w:p w14:paraId="397EBF45" w14:textId="77777777" w:rsidR="00CD24BC" w:rsidRPr="0076165F" w:rsidRDefault="00CD24BC" w:rsidP="00CD24BC">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En ese mismo orden de ideas, no podemos soslayar que, por mandato de nuestra máxima ley estatal, la determinación de los ingresos por parte de esta </w:t>
      </w:r>
      <w:proofErr w:type="gramStart"/>
      <w:r w:rsidRPr="0076165F">
        <w:rPr>
          <w:rFonts w:ascii="Arial" w:eastAsia="Times New Roman" w:hAnsi="Arial"/>
          <w:iCs/>
          <w:sz w:val="24"/>
          <w:szCs w:val="24"/>
          <w:lang w:val="es-ES" w:eastAsia="es-ES"/>
        </w:rPr>
        <w:t>Soberanía,</w:t>
      </w:r>
      <w:proofErr w:type="gramEnd"/>
      <w:r w:rsidRPr="0076165F">
        <w:rPr>
          <w:rFonts w:ascii="Arial" w:eastAsia="Times New Roman" w:hAnsi="Arial"/>
          <w:iCs/>
          <w:sz w:val="24"/>
          <w:szCs w:val="24"/>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4E7C981A" w14:textId="77777777" w:rsidR="00CD24BC" w:rsidRPr="0076165F" w:rsidRDefault="00CD24BC" w:rsidP="00CD24BC">
      <w:pPr>
        <w:spacing w:after="0" w:line="360" w:lineRule="auto"/>
        <w:ind w:firstLine="540"/>
        <w:jc w:val="both"/>
        <w:rPr>
          <w:rFonts w:ascii="Arial" w:eastAsia="Times New Roman" w:hAnsi="Arial"/>
          <w:iCs/>
          <w:sz w:val="24"/>
          <w:szCs w:val="24"/>
          <w:lang w:val="es-ES" w:eastAsia="es-ES"/>
        </w:rPr>
      </w:pPr>
    </w:p>
    <w:p w14:paraId="1CE3F5B7" w14:textId="77777777" w:rsidR="00CD24BC" w:rsidRPr="0076165F" w:rsidRDefault="00CD24BC" w:rsidP="00CD24BC">
      <w:pPr>
        <w:spacing w:after="0" w:line="360" w:lineRule="auto"/>
        <w:ind w:firstLine="709"/>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0561FE8" w14:textId="77777777" w:rsidR="00CD24BC" w:rsidRPr="0076165F" w:rsidRDefault="00CD24BC" w:rsidP="00CD24BC">
      <w:pPr>
        <w:spacing w:after="0" w:line="240" w:lineRule="auto"/>
        <w:jc w:val="both"/>
        <w:rPr>
          <w:rFonts w:ascii="Arial" w:eastAsia="Times New Roman" w:hAnsi="Arial"/>
          <w:b/>
          <w:i/>
          <w:iCs/>
          <w:sz w:val="24"/>
          <w:szCs w:val="24"/>
          <w:lang w:val="es-ES" w:eastAsia="es-ES"/>
        </w:rPr>
      </w:pPr>
    </w:p>
    <w:p w14:paraId="3312EA7D" w14:textId="77777777" w:rsidR="00CD24BC" w:rsidRPr="0076165F" w:rsidRDefault="00CD24BC" w:rsidP="00CD24BC">
      <w:pPr>
        <w:spacing w:after="0" w:line="240" w:lineRule="auto"/>
        <w:jc w:val="both"/>
        <w:rPr>
          <w:rFonts w:ascii="Arial" w:eastAsia="Times New Roman" w:hAnsi="Arial"/>
          <w:b/>
          <w:i/>
          <w:iCs/>
          <w:lang w:val="es-ES" w:eastAsia="es-ES"/>
        </w:rPr>
      </w:pPr>
      <w:r w:rsidRPr="0076165F">
        <w:rPr>
          <w:rFonts w:ascii="Arial" w:eastAsia="Times New Roman" w:hAnsi="Arial"/>
          <w:b/>
          <w:i/>
          <w:iCs/>
          <w:lang w:val="es-ES" w:eastAsia="es-ES"/>
        </w:rPr>
        <w:tab/>
      </w:r>
      <w:r w:rsidRPr="0076165F">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6165F">
            <w:rPr>
              <w:rFonts w:ascii="Arial" w:eastAsia="Times New Roman" w:hAnsi="Arial"/>
              <w:i/>
              <w:iCs/>
              <w:lang w:val="es-ES" w:eastAsia="es-ES"/>
            </w:rPr>
            <w:t>la Autonomía</w:t>
          </w:r>
        </w:smartTag>
        <w:r w:rsidRPr="0076165F">
          <w:rPr>
            <w:rFonts w:ascii="Arial" w:eastAsia="Times New Roman" w:hAnsi="Arial"/>
            <w:i/>
            <w:iCs/>
            <w:lang w:val="es-ES" w:eastAsia="es-ES"/>
          </w:rPr>
          <w:t xml:space="preserve"> Financiera</w:t>
        </w:r>
      </w:smartTag>
      <w:r w:rsidRPr="0076165F">
        <w:rPr>
          <w:rFonts w:ascii="Arial" w:eastAsia="Times New Roman" w:hAnsi="Arial"/>
          <w:i/>
          <w:iCs/>
          <w:lang w:val="es-ES" w:eastAsia="es-ES"/>
        </w:rPr>
        <w:t xml:space="preserve"> Municipal</w:t>
      </w:r>
      <w:r w:rsidRPr="0076165F">
        <w:rPr>
          <w:rFonts w:ascii="Arial" w:eastAsia="Times New Roman" w:hAnsi="Arial"/>
          <w:b/>
          <w:i/>
          <w:iCs/>
          <w:lang w:val="es-ES" w:eastAsia="es-ES"/>
        </w:rPr>
        <w:t xml:space="preserve"> </w:t>
      </w:r>
    </w:p>
    <w:p w14:paraId="77BA83C4" w14:textId="77777777" w:rsidR="00CD24BC" w:rsidRPr="0076165F" w:rsidRDefault="00CD24BC" w:rsidP="00CD24BC">
      <w:pPr>
        <w:spacing w:after="0" w:line="240" w:lineRule="auto"/>
        <w:ind w:left="720" w:right="484"/>
        <w:jc w:val="both"/>
        <w:rPr>
          <w:rFonts w:ascii="Arial" w:eastAsia="Times New Roman" w:hAnsi="Arial"/>
          <w:i/>
          <w:lang w:val="es-ES" w:eastAsia="es-ES"/>
        </w:rPr>
      </w:pPr>
    </w:p>
    <w:p w14:paraId="495DE58C" w14:textId="77777777" w:rsidR="00CD24BC" w:rsidRPr="0076165F" w:rsidRDefault="00CD24BC" w:rsidP="00CD24B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6165F">
          <w:rPr>
            <w:rFonts w:ascii="Arial" w:eastAsia="Times New Roman" w:hAnsi="Arial"/>
            <w:i/>
            <w:lang w:val="es-ES" w:eastAsia="es-ES"/>
          </w:rPr>
          <w:t>la Revolución.”</w:t>
        </w:r>
      </w:smartTag>
    </w:p>
    <w:p w14:paraId="323C02B4" w14:textId="77777777" w:rsidR="00CD24BC" w:rsidRPr="0076165F" w:rsidRDefault="00CD24BC" w:rsidP="00CD24BC">
      <w:pPr>
        <w:spacing w:after="0" w:line="240" w:lineRule="auto"/>
        <w:ind w:left="720" w:right="484"/>
        <w:jc w:val="both"/>
        <w:rPr>
          <w:rFonts w:ascii="Arial" w:eastAsia="Times New Roman" w:hAnsi="Arial"/>
          <w:i/>
          <w:lang w:val="es-ES" w:eastAsia="es-ES"/>
        </w:rPr>
      </w:pPr>
    </w:p>
    <w:p w14:paraId="43407ADF" w14:textId="77777777" w:rsidR="00CD24BC" w:rsidRPr="0076165F" w:rsidRDefault="00CD24BC" w:rsidP="00CD24B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76165F">
        <w:rPr>
          <w:rFonts w:ascii="Arial" w:eastAsia="Times New Roman" w:hAnsi="Arial"/>
          <w:i/>
          <w:lang w:val="es-ES" w:eastAsia="es-ES"/>
        </w:rPr>
        <w:t>que  “</w:t>
      </w:r>
      <w:proofErr w:type="gramEnd"/>
      <w:r w:rsidRPr="0076165F">
        <w:rPr>
          <w:rFonts w:ascii="Arial" w:eastAsia="Times New Roman" w:hAnsi="Arial"/>
          <w:i/>
          <w:lang w:val="es-ES" w:eastAsia="es-ES"/>
        </w:rPr>
        <w:t>los Municipios administrarán libremente su hacienda, la que se formará con las contribuciones  que le señalen las Legislaturas de los Estados”.”</w:t>
      </w:r>
    </w:p>
    <w:p w14:paraId="1BB6A1CB" w14:textId="77777777" w:rsidR="00CD24BC" w:rsidRPr="0076165F" w:rsidRDefault="00CD24BC" w:rsidP="00CD24BC">
      <w:pPr>
        <w:spacing w:after="0" w:line="240" w:lineRule="auto"/>
        <w:ind w:left="720" w:right="484"/>
        <w:jc w:val="both"/>
        <w:rPr>
          <w:rFonts w:ascii="Arial" w:eastAsia="Times New Roman" w:hAnsi="Arial"/>
          <w:i/>
          <w:lang w:val="es-ES" w:eastAsia="es-ES"/>
        </w:rPr>
      </w:pPr>
    </w:p>
    <w:p w14:paraId="4869A7FC" w14:textId="77777777" w:rsidR="00CD24BC" w:rsidRPr="0076165F" w:rsidRDefault="00CD24BC" w:rsidP="00CD24B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6165F">
            <w:rPr>
              <w:rFonts w:ascii="Arial" w:eastAsia="Times New Roman" w:hAnsi="Arial"/>
              <w:i/>
              <w:lang w:val="es-ES" w:eastAsia="es-ES"/>
            </w:rPr>
            <w:t>la Legislatura</w:t>
          </w:r>
        </w:smartTag>
        <w:r w:rsidRPr="0076165F">
          <w:rPr>
            <w:rFonts w:ascii="Arial" w:eastAsia="Times New Roman" w:hAnsi="Arial"/>
            <w:i/>
            <w:lang w:val="es-ES" w:eastAsia="es-ES"/>
          </w:rPr>
          <w:t xml:space="preserve"> Estatal.”</w:t>
        </w:r>
      </w:smartTag>
    </w:p>
    <w:p w14:paraId="185E5414" w14:textId="77777777" w:rsidR="00CD24BC" w:rsidRPr="0076165F" w:rsidRDefault="00CD24BC" w:rsidP="00CD24BC">
      <w:pPr>
        <w:spacing w:after="0" w:line="240" w:lineRule="auto"/>
        <w:ind w:left="720" w:right="484"/>
        <w:jc w:val="both"/>
        <w:rPr>
          <w:rFonts w:ascii="Arial" w:eastAsia="Times New Roman" w:hAnsi="Arial"/>
          <w:i/>
          <w:lang w:val="es-ES" w:eastAsia="es-ES"/>
        </w:rPr>
      </w:pPr>
    </w:p>
    <w:p w14:paraId="75CC3B75" w14:textId="77777777" w:rsidR="00CD24BC" w:rsidRPr="0076165F" w:rsidRDefault="00CD24BC" w:rsidP="00CD24BC">
      <w:pPr>
        <w:spacing w:after="0" w:line="240" w:lineRule="auto"/>
        <w:ind w:left="720" w:right="484"/>
        <w:jc w:val="both"/>
        <w:rPr>
          <w:rFonts w:ascii="Arial" w:eastAsia="Times New Roman" w:hAnsi="Arial"/>
          <w:i/>
          <w:lang w:val="es-ES" w:eastAsia="es-ES"/>
        </w:rPr>
      </w:pPr>
      <w:r w:rsidRPr="0076165F">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6165F">
          <w:rPr>
            <w:rFonts w:ascii="Arial" w:eastAsia="Times New Roman" w:hAnsi="Arial"/>
            <w:i/>
            <w:lang w:val="es-ES" w:eastAsia="es-ES"/>
          </w:rPr>
          <w:t>la Nación</w:t>
        </w:r>
      </w:smartTag>
      <w:r w:rsidRPr="0076165F">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3712008C" w14:textId="77777777" w:rsidR="00CD24BC" w:rsidRPr="0076165F" w:rsidRDefault="00CD24BC" w:rsidP="00CD24BC">
      <w:pPr>
        <w:spacing w:after="0" w:line="360" w:lineRule="auto"/>
        <w:ind w:left="720" w:right="484"/>
        <w:jc w:val="both"/>
        <w:rPr>
          <w:rFonts w:ascii="Arial" w:eastAsia="Times New Roman" w:hAnsi="Arial"/>
          <w:i/>
          <w:lang w:val="es-ES" w:eastAsia="es-ES"/>
        </w:rPr>
      </w:pPr>
    </w:p>
    <w:p w14:paraId="48ABDD3D" w14:textId="77777777" w:rsidR="00CD24BC" w:rsidRPr="0076165F" w:rsidRDefault="00CD24BC" w:rsidP="00CD24BC">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45359F6" w14:textId="77777777" w:rsidR="00CD24BC" w:rsidRPr="0076165F" w:rsidRDefault="00CD24BC" w:rsidP="00CD24BC">
      <w:pPr>
        <w:spacing w:after="0" w:line="360" w:lineRule="auto"/>
        <w:ind w:firstLine="708"/>
        <w:jc w:val="both"/>
        <w:rPr>
          <w:rFonts w:ascii="Arial" w:eastAsia="Times New Roman" w:hAnsi="Arial"/>
          <w:iCs/>
          <w:sz w:val="24"/>
          <w:szCs w:val="24"/>
          <w:lang w:val="es-ES" w:eastAsia="es-ES"/>
        </w:rPr>
      </w:pPr>
    </w:p>
    <w:p w14:paraId="0CAEDBF5"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6165F">
            <w:rPr>
              <w:rFonts w:ascii="Arial" w:eastAsia="Times New Roman" w:hAnsi="Arial"/>
              <w:sz w:val="24"/>
              <w:szCs w:val="24"/>
              <w:lang w:val="es-ES" w:eastAsia="es-ES"/>
            </w:rPr>
            <w:t>la Constitución</w:t>
          </w:r>
        </w:smartTag>
        <w:r w:rsidRPr="0076165F">
          <w:rPr>
            <w:rFonts w:ascii="Arial" w:eastAsia="Times New Roman" w:hAnsi="Arial"/>
            <w:sz w:val="24"/>
            <w:szCs w:val="24"/>
            <w:lang w:val="es-ES" w:eastAsia="es-ES"/>
          </w:rPr>
          <w:t xml:space="preserve"> Política</w:t>
        </w:r>
      </w:smartTag>
      <w:r w:rsidRPr="0076165F">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w:t>
      </w:r>
      <w:r w:rsidRPr="0076165F">
        <w:rPr>
          <w:rFonts w:ascii="Arial" w:eastAsia="Times New Roman" w:hAnsi="Arial"/>
          <w:sz w:val="24"/>
          <w:szCs w:val="24"/>
          <w:lang w:val="es-ES" w:eastAsia="es-ES"/>
        </w:rPr>
        <w:lastRenderedPageBreak/>
        <w:t>decidir su política financiera y hacendaria, ello contribuirá a su desarrollo paulatino y a su plena homologación con los gobiernos federal y estatal.</w:t>
      </w:r>
    </w:p>
    <w:p w14:paraId="2B38F237"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42B0E1E6"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vertAlign w:val="superscript"/>
          <w:lang w:val="es-ES" w:eastAsia="es-ES"/>
        </w:rPr>
        <w:footnoteReference w:id="1"/>
      </w:r>
      <w:r w:rsidRPr="0076165F">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6D71E0E"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55A8CF55" w14:textId="77777777" w:rsidR="00CD24BC" w:rsidRPr="0076165F" w:rsidRDefault="00CD24BC" w:rsidP="00CD24BC">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TERCERA. </w:t>
      </w:r>
      <w:r w:rsidRPr="0076165F">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a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826DE53"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162BE5F4"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 xml:space="preserve">Asimismo, es de mencionar </w:t>
      </w:r>
      <w:proofErr w:type="gramStart"/>
      <w:r w:rsidRPr="0076165F">
        <w:rPr>
          <w:rFonts w:ascii="Arial" w:eastAsia="Times New Roman" w:hAnsi="Arial"/>
          <w:sz w:val="24"/>
          <w:szCs w:val="24"/>
          <w:lang w:val="es-ES" w:eastAsia="es-ES"/>
        </w:rPr>
        <w:t>que</w:t>
      </w:r>
      <w:proofErr w:type="gramEnd"/>
      <w:r w:rsidRPr="0076165F">
        <w:rPr>
          <w:rFonts w:ascii="Arial" w:eastAsia="Times New Roman" w:hAnsi="Arial"/>
          <w:sz w:val="24"/>
          <w:szCs w:val="24"/>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D218647"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7A2913F4" w14:textId="77777777" w:rsidR="00CD24BC" w:rsidRPr="0076165F" w:rsidRDefault="00CD24BC" w:rsidP="00CD24BC">
      <w:pPr>
        <w:shd w:val="clear" w:color="auto" w:fill="FFFFFF"/>
        <w:spacing w:after="0" w:line="360" w:lineRule="auto"/>
        <w:jc w:val="both"/>
        <w:rPr>
          <w:rFonts w:ascii="Arial" w:eastAsia="Times New Roman" w:hAnsi="Arial"/>
          <w:sz w:val="24"/>
          <w:szCs w:val="20"/>
          <w:lang w:val="es-ES" w:eastAsia="es-ES"/>
        </w:rPr>
      </w:pPr>
      <w:bookmarkStart w:id="2" w:name="_Hlk184897324"/>
      <w:r w:rsidRPr="0076165F">
        <w:rPr>
          <w:rFonts w:ascii="Arial" w:eastAsia="Times New Roman" w:hAnsi="Arial"/>
          <w:b/>
          <w:sz w:val="24"/>
          <w:szCs w:val="20"/>
          <w:lang w:val="es-ES" w:eastAsia="es-ES"/>
        </w:rPr>
        <w:t xml:space="preserve">CUARTA. </w:t>
      </w:r>
      <w:r w:rsidRPr="0076165F">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EF6065" w14:textId="77777777" w:rsidR="00CD24BC" w:rsidRPr="0076165F" w:rsidRDefault="00CD24BC" w:rsidP="00CD24BC">
      <w:pPr>
        <w:shd w:val="clear" w:color="auto" w:fill="FFFFFF"/>
        <w:spacing w:after="0" w:line="360" w:lineRule="auto"/>
        <w:jc w:val="both"/>
        <w:rPr>
          <w:rFonts w:ascii="Arial" w:eastAsia="Times New Roman" w:hAnsi="Arial"/>
          <w:b/>
          <w:sz w:val="24"/>
          <w:szCs w:val="24"/>
          <w:lang w:val="es-ES" w:eastAsia="es-ES"/>
        </w:rPr>
      </w:pPr>
    </w:p>
    <w:p w14:paraId="3E51B3C5"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F6A656E"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0FC21723"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3FE5BF4" w14:textId="77777777" w:rsidR="00CD24BC" w:rsidRPr="0076165F" w:rsidRDefault="00CD24BC" w:rsidP="00CD24BC">
      <w:pPr>
        <w:spacing w:after="0" w:line="360" w:lineRule="auto"/>
        <w:jc w:val="both"/>
        <w:rPr>
          <w:rFonts w:ascii="Arial" w:eastAsia="Times New Roman" w:hAnsi="Arial"/>
          <w:sz w:val="24"/>
          <w:szCs w:val="24"/>
          <w:lang w:val="es-ES" w:eastAsia="es-ES"/>
        </w:rPr>
      </w:pPr>
    </w:p>
    <w:p w14:paraId="701A68FE"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El pleno de la Suprema Corte de Justicia de la </w:t>
      </w:r>
      <w:proofErr w:type="gramStart"/>
      <w:r w:rsidRPr="0076165F">
        <w:rPr>
          <w:rFonts w:ascii="Arial" w:eastAsia="Times New Roman" w:hAnsi="Arial"/>
          <w:sz w:val="24"/>
          <w:szCs w:val="24"/>
          <w:lang w:val="es-ES" w:eastAsia="es-ES"/>
        </w:rPr>
        <w:t>Nación,</w:t>
      </w:r>
      <w:proofErr w:type="gramEnd"/>
      <w:r w:rsidRPr="0076165F">
        <w:rPr>
          <w:rFonts w:ascii="Arial" w:eastAsia="Times New Roman" w:hAnsi="Arial"/>
          <w:sz w:val="24"/>
          <w:szCs w:val="24"/>
          <w:lang w:val="es-ES" w:eastAsia="es-ES"/>
        </w:rPr>
        <w:t xml:space="preserve"> ha señalado que la fundamentación puede ser de dos tipos: </w:t>
      </w:r>
      <w:r w:rsidRPr="0076165F">
        <w:rPr>
          <w:rFonts w:ascii="Arial" w:eastAsia="Times New Roman" w:hAnsi="Arial"/>
          <w:i/>
          <w:sz w:val="24"/>
          <w:szCs w:val="24"/>
          <w:lang w:val="es-ES" w:eastAsia="es-ES"/>
        </w:rPr>
        <w:t xml:space="preserve">reforzada </w:t>
      </w:r>
      <w:r w:rsidRPr="0076165F">
        <w:rPr>
          <w:rFonts w:ascii="Arial" w:eastAsia="Times New Roman" w:hAnsi="Arial"/>
          <w:sz w:val="24"/>
          <w:szCs w:val="24"/>
          <w:lang w:val="es-ES" w:eastAsia="es-ES"/>
        </w:rPr>
        <w:t>y</w:t>
      </w:r>
      <w:r w:rsidRPr="0076165F">
        <w:rPr>
          <w:rFonts w:ascii="Arial" w:eastAsia="Times New Roman" w:hAnsi="Arial"/>
          <w:i/>
          <w:sz w:val="24"/>
          <w:szCs w:val="24"/>
          <w:lang w:val="es-ES" w:eastAsia="es-ES"/>
        </w:rPr>
        <w:t xml:space="preserve"> ordinaria</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 xml:space="preserve">La primera, es una exigencia que se actualiza cuando se emiten ciertos actos o normas en los que puede llegarse a afectar algún derecho fundamental u otro bien relevante desde el punto de </w:t>
      </w:r>
      <w:r w:rsidRPr="0076165F">
        <w:rPr>
          <w:rFonts w:ascii="Arial" w:eastAsia="Times New Roman" w:hAnsi="Arial"/>
          <w:sz w:val="24"/>
          <w:szCs w:val="24"/>
          <w:lang w:val="es-ES" w:eastAsia="es-ES"/>
        </w:rPr>
        <w:lastRenderedPageBreak/>
        <w:t>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03AD1CF" w14:textId="77777777" w:rsidR="00CD24BC" w:rsidRPr="0076165F" w:rsidRDefault="00CD24BC" w:rsidP="00CD24BC">
      <w:pPr>
        <w:spacing w:after="0" w:line="360" w:lineRule="auto"/>
        <w:jc w:val="both"/>
        <w:rPr>
          <w:rFonts w:ascii="Arial" w:eastAsia="Times New Roman" w:hAnsi="Arial"/>
          <w:sz w:val="24"/>
          <w:szCs w:val="24"/>
          <w:lang w:val="es-ES" w:eastAsia="es-ES"/>
        </w:rPr>
      </w:pPr>
    </w:p>
    <w:p w14:paraId="2B8FBDA7"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otra parte, la motivación ordinaria tiene lugar cuando no se presenta alguna "categoría sospechosa", esto es, cuando el acto o la norma de que se </w:t>
      </w:r>
      <w:proofErr w:type="gramStart"/>
      <w:r w:rsidRPr="0076165F">
        <w:rPr>
          <w:rFonts w:ascii="Arial" w:eastAsia="Times New Roman" w:hAnsi="Arial"/>
          <w:sz w:val="24"/>
          <w:szCs w:val="24"/>
          <w:lang w:val="es-ES" w:eastAsia="es-ES"/>
        </w:rPr>
        <w:t>trate,</w:t>
      </w:r>
      <w:proofErr w:type="gramEnd"/>
      <w:r w:rsidRPr="0076165F">
        <w:rPr>
          <w:rFonts w:ascii="Arial" w:eastAsia="Times New Roman" w:hAnsi="Arial"/>
          <w:sz w:val="24"/>
          <w:szCs w:val="24"/>
          <w:lang w:val="es-ES"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46B8623" w14:textId="77777777" w:rsidR="00CD24BC" w:rsidRPr="0076165F" w:rsidRDefault="00CD24BC" w:rsidP="00CD24BC">
      <w:pPr>
        <w:spacing w:after="0" w:line="360" w:lineRule="auto"/>
        <w:jc w:val="both"/>
        <w:rPr>
          <w:rFonts w:ascii="Arial" w:eastAsia="Times New Roman" w:hAnsi="Arial"/>
          <w:b/>
          <w:sz w:val="24"/>
          <w:szCs w:val="24"/>
          <w:lang w:val="es-ES" w:eastAsia="es-ES"/>
        </w:rPr>
      </w:pPr>
    </w:p>
    <w:p w14:paraId="6C05B7B7"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6165F">
        <w:rPr>
          <w:rFonts w:ascii="Arial" w:eastAsia="Times New Roman" w:hAnsi="Arial"/>
          <w:sz w:val="24"/>
          <w:szCs w:val="24"/>
          <w:vertAlign w:val="superscript"/>
          <w:lang w:val="es-ES" w:eastAsia="es-ES"/>
        </w:rPr>
        <w:footnoteReference w:id="2"/>
      </w:r>
      <w:r w:rsidRPr="0076165F">
        <w:rPr>
          <w:rFonts w:ascii="Arial" w:eastAsia="Times New Roman" w:hAnsi="Arial"/>
          <w:sz w:val="24"/>
          <w:szCs w:val="24"/>
          <w:lang w:val="es-ES" w:eastAsia="es-ES"/>
        </w:rPr>
        <w:t>”.</w:t>
      </w:r>
    </w:p>
    <w:p w14:paraId="3265E0DE" w14:textId="77777777" w:rsidR="00CD24BC" w:rsidRPr="0076165F" w:rsidRDefault="00CD24BC" w:rsidP="00CD24BC">
      <w:pPr>
        <w:spacing w:after="0" w:line="360" w:lineRule="auto"/>
        <w:jc w:val="both"/>
        <w:rPr>
          <w:rFonts w:ascii="Arial" w:eastAsia="Times New Roman" w:hAnsi="Arial"/>
          <w:sz w:val="24"/>
          <w:szCs w:val="24"/>
          <w:lang w:val="es-ES" w:eastAsia="es-ES"/>
        </w:rPr>
      </w:pPr>
    </w:p>
    <w:p w14:paraId="09706205"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76D043A" w14:textId="77777777" w:rsidR="00CD24BC" w:rsidRPr="0076165F" w:rsidRDefault="00CD24BC" w:rsidP="00CD24BC">
      <w:pPr>
        <w:spacing w:after="0" w:line="360" w:lineRule="auto"/>
        <w:jc w:val="both"/>
        <w:rPr>
          <w:rFonts w:ascii="Arial" w:eastAsia="Times New Roman" w:hAnsi="Arial"/>
          <w:sz w:val="24"/>
          <w:szCs w:val="24"/>
          <w:lang w:val="es-ES" w:eastAsia="es-ES"/>
        </w:rPr>
      </w:pPr>
    </w:p>
    <w:p w14:paraId="6C47F790" w14:textId="77777777" w:rsidR="00CD24BC" w:rsidRPr="0076165F" w:rsidRDefault="00CD24BC" w:rsidP="00CD24BC">
      <w:pPr>
        <w:spacing w:after="0" w:line="360" w:lineRule="auto"/>
        <w:ind w:firstLine="708"/>
        <w:jc w:val="both"/>
        <w:rPr>
          <w:rFonts w:ascii="Arial" w:eastAsia="Times New Roman" w:hAnsi="Arial" w:cs="Times New Roman"/>
          <w:sz w:val="24"/>
          <w:szCs w:val="24"/>
          <w:lang w:val="es-ES" w:eastAsia="es-MX"/>
        </w:rPr>
      </w:pPr>
      <w:r w:rsidRPr="0076165F">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6165F">
        <w:rPr>
          <w:rFonts w:ascii="Arial" w:eastAsia="Times New Roman" w:hAnsi="Arial" w:cs="Times New Roman"/>
          <w:sz w:val="24"/>
          <w:szCs w:val="24"/>
          <w:lang w:val="es-ES" w:eastAsia="es-MX"/>
        </w:rPr>
        <w:lastRenderedPageBreak/>
        <w:t>sin embargo,</w:t>
      </w:r>
      <w:r w:rsidRPr="0076165F">
        <w:rPr>
          <w:rFonts w:ascii="Arial" w:eastAsia="Times New Roman" w:hAnsi="Arial" w:cs="Times New Roman"/>
          <w:sz w:val="30"/>
          <w:szCs w:val="30"/>
          <w:lang w:val="es-ES" w:eastAsia="es-MX"/>
        </w:rPr>
        <w:t xml:space="preserve"> </w:t>
      </w:r>
      <w:r w:rsidRPr="0076165F">
        <w:rPr>
          <w:rFonts w:ascii="Arial" w:eastAsia="Times New Roman" w:hAnsi="Arial" w:cs="Times New Roman"/>
          <w:sz w:val="24"/>
          <w:szCs w:val="24"/>
          <w:lang w:val="es-ES"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76165F">
        <w:rPr>
          <w:rFonts w:ascii="Arial" w:eastAsia="Times New Roman" w:hAnsi="Arial" w:cs="Times New Roman"/>
          <w:sz w:val="24"/>
          <w:szCs w:val="24"/>
          <w:vertAlign w:val="superscript"/>
          <w:lang w:val="es-ES" w:eastAsia="es-MX"/>
        </w:rPr>
        <w:footnoteReference w:id="3"/>
      </w:r>
      <w:r w:rsidRPr="0076165F">
        <w:rPr>
          <w:rFonts w:ascii="Arial" w:eastAsia="Times New Roman" w:hAnsi="Arial" w:cs="Times New Roman"/>
          <w:sz w:val="24"/>
          <w:szCs w:val="24"/>
          <w:lang w:val="es-ES" w:eastAsia="es-MX"/>
        </w:rPr>
        <w:t>…”.</w:t>
      </w:r>
    </w:p>
    <w:p w14:paraId="1FF14EFE" w14:textId="77777777" w:rsidR="00CD24BC" w:rsidRPr="0076165F" w:rsidRDefault="00CD24BC" w:rsidP="00CD24BC">
      <w:pPr>
        <w:spacing w:after="0" w:line="360" w:lineRule="auto"/>
        <w:jc w:val="both"/>
        <w:rPr>
          <w:rFonts w:ascii="Arial" w:eastAsia="Times New Roman" w:hAnsi="Arial" w:cs="Times New Roman"/>
          <w:sz w:val="24"/>
          <w:szCs w:val="24"/>
          <w:lang w:val="es-ES" w:eastAsia="es-MX"/>
        </w:rPr>
      </w:pPr>
    </w:p>
    <w:p w14:paraId="07702D89"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cs="Times New Roman"/>
          <w:sz w:val="24"/>
          <w:szCs w:val="24"/>
          <w:lang w:val="es-ES" w:eastAsia="es-MX"/>
        </w:rPr>
        <w:t xml:space="preserve">En este sentido, el pleno de la Suprema Corte de Justicia de la Nación, estableció que </w:t>
      </w:r>
      <w:r w:rsidRPr="0076165F">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58F8A47"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1EB8B7C3"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F6E71F5"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3B168DBC"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w:t>
      </w:r>
      <w:r w:rsidRPr="0076165F">
        <w:rPr>
          <w:rFonts w:ascii="Arial" w:eastAsia="Times New Roman" w:hAnsi="Arial"/>
          <w:sz w:val="24"/>
          <w:szCs w:val="24"/>
          <w:lang w:val="es-ES" w:eastAsia="es-ES"/>
        </w:rPr>
        <w:lastRenderedPageBreak/>
        <w:t>SENTIDO EN EL QUE SE HUBIERE PRESENTADO ORIGINALMENTE LA INICIATIVA CORRESPONDIENTE”.</w:t>
      </w:r>
    </w:p>
    <w:p w14:paraId="6B4834F1"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bookmarkEnd w:id="2"/>
    <w:p w14:paraId="4C2404F9" w14:textId="77777777" w:rsidR="00CD24BC" w:rsidRPr="0076165F" w:rsidRDefault="00CD24BC" w:rsidP="00CD24BC">
      <w:pPr>
        <w:spacing w:after="0" w:line="360" w:lineRule="auto"/>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QUINTA. </w:t>
      </w:r>
      <w:r w:rsidRPr="0076165F">
        <w:rPr>
          <w:rFonts w:ascii="Arial" w:eastAsia="Times New Roman" w:hAnsi="Arial"/>
          <w:sz w:val="24"/>
          <w:szCs w:val="24"/>
          <w:lang w:val="es-ES" w:eastAsia="es-ES"/>
        </w:rPr>
        <w:t>Continuando con 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CDFB560" w14:textId="77777777" w:rsidR="00CD24BC" w:rsidRPr="0076165F" w:rsidRDefault="00CD24BC" w:rsidP="00CD24BC">
      <w:pPr>
        <w:spacing w:after="0" w:line="360" w:lineRule="auto"/>
        <w:ind w:firstLine="709"/>
        <w:jc w:val="both"/>
        <w:rPr>
          <w:rFonts w:ascii="Arial" w:eastAsia="Times New Roman" w:hAnsi="Arial"/>
          <w:sz w:val="24"/>
          <w:szCs w:val="24"/>
          <w:lang w:val="es-ES" w:eastAsia="es-ES"/>
        </w:rPr>
      </w:pPr>
    </w:p>
    <w:p w14:paraId="4D3DF373" w14:textId="77777777" w:rsidR="00CD24BC" w:rsidRPr="0076165F" w:rsidRDefault="00CD24BC" w:rsidP="00CD24BC">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CB158DE" w14:textId="77777777" w:rsidR="00CD24BC" w:rsidRPr="0076165F" w:rsidRDefault="00CD24BC" w:rsidP="00CD24BC">
      <w:pPr>
        <w:spacing w:after="0" w:line="360" w:lineRule="auto"/>
        <w:ind w:firstLine="709"/>
        <w:jc w:val="both"/>
        <w:rPr>
          <w:rFonts w:ascii="Arial" w:eastAsia="Times New Roman" w:hAnsi="Arial"/>
          <w:sz w:val="24"/>
          <w:szCs w:val="24"/>
          <w:lang w:val="es-ES" w:eastAsia="es-ES"/>
        </w:rPr>
      </w:pPr>
    </w:p>
    <w:p w14:paraId="1AAB318A"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w:t>
      </w:r>
      <w:r w:rsidRPr="0076165F">
        <w:rPr>
          <w:rFonts w:ascii="Arial" w:eastAsia="Times New Roman" w:hAnsi="Arial"/>
          <w:sz w:val="24"/>
          <w:szCs w:val="24"/>
          <w:lang w:val="es-ES" w:eastAsia="es-ES"/>
        </w:rPr>
        <w:lastRenderedPageBreak/>
        <w:t>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4983C65"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4F51D08C"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0BA6D3E"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5AFDA9F4"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2025, dando cumplimiento con la normatividad federal y estatal antes señalada, en materia de armonización contable. </w:t>
      </w:r>
    </w:p>
    <w:p w14:paraId="506DEBF4"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2401C237"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SEXTA. </w:t>
      </w:r>
      <w:r w:rsidRPr="0076165F">
        <w:rPr>
          <w:rFonts w:ascii="Arial" w:eastAsia="Times New Roman" w:hAnsi="Arial"/>
          <w:bCs/>
          <w:sz w:val="24"/>
          <w:szCs w:val="24"/>
          <w:lang w:val="es-ES" w:eastAsia="es-ES"/>
        </w:rPr>
        <w:t>C</w:t>
      </w:r>
      <w:r w:rsidRPr="0076165F">
        <w:rPr>
          <w:rFonts w:ascii="Arial" w:eastAsia="Times New Roman" w:hAnsi="Arial"/>
          <w:sz w:val="24"/>
          <w:szCs w:val="24"/>
          <w:lang w:val="es-ES" w:eastAsia="es-ES"/>
        </w:rPr>
        <w:t>ontinuando con el estudio de las iniciativas fiscales, es de señalar que dos municipios proponen, en el rubro de ingresos extraordinarios, percibir ingresos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517"/>
      </w:tblGrid>
      <w:tr w:rsidR="00CD24BC" w:rsidRPr="0076165F" w14:paraId="0414DF57" w14:textId="77777777" w:rsidTr="003F4851">
        <w:trPr>
          <w:jc w:val="center"/>
        </w:trPr>
        <w:tc>
          <w:tcPr>
            <w:tcW w:w="2692" w:type="dxa"/>
            <w:shd w:val="clear" w:color="auto" w:fill="BFBFBF"/>
          </w:tcPr>
          <w:p w14:paraId="728471E6" w14:textId="77777777" w:rsidR="00CD24BC" w:rsidRPr="0076165F" w:rsidRDefault="00CD24BC"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Municipio</w:t>
            </w:r>
          </w:p>
        </w:tc>
        <w:tc>
          <w:tcPr>
            <w:tcW w:w="2517" w:type="dxa"/>
            <w:shd w:val="clear" w:color="auto" w:fill="BFBFBF"/>
          </w:tcPr>
          <w:p w14:paraId="5E126E0D" w14:textId="77777777" w:rsidR="00CD24BC" w:rsidRPr="0076165F" w:rsidRDefault="00CD24BC" w:rsidP="003F4851">
            <w:pPr>
              <w:widowControl w:val="0"/>
              <w:autoSpaceDE w:val="0"/>
              <w:autoSpaceDN w:val="0"/>
              <w:spacing w:after="0" w:line="240" w:lineRule="auto"/>
              <w:ind w:right="5"/>
              <w:jc w:val="center"/>
              <w:rPr>
                <w:rFonts w:ascii="Arial" w:eastAsia="Times New Roman" w:hAnsi="Arial"/>
                <w:b/>
                <w:sz w:val="24"/>
                <w:szCs w:val="24"/>
                <w:lang w:val="es-ES" w:eastAsia="es-ES"/>
              </w:rPr>
            </w:pPr>
            <w:r w:rsidRPr="0076165F">
              <w:rPr>
                <w:rFonts w:ascii="Arial" w:eastAsia="Times New Roman" w:hAnsi="Arial"/>
                <w:b/>
                <w:sz w:val="24"/>
                <w:szCs w:val="24"/>
                <w:lang w:val="es-ES" w:eastAsia="es-ES"/>
              </w:rPr>
              <w:t>Monto solicitado</w:t>
            </w:r>
          </w:p>
        </w:tc>
      </w:tr>
      <w:tr w:rsidR="00CD24BC" w:rsidRPr="0076165F" w14:paraId="31BDD647" w14:textId="77777777" w:rsidTr="003F4851">
        <w:trPr>
          <w:jc w:val="center"/>
        </w:trPr>
        <w:tc>
          <w:tcPr>
            <w:tcW w:w="2692" w:type="dxa"/>
            <w:shd w:val="clear" w:color="auto" w:fill="auto"/>
          </w:tcPr>
          <w:p w14:paraId="2FC8AE53" w14:textId="77777777" w:rsidR="00CD24BC" w:rsidRPr="0076165F" w:rsidRDefault="00CD24BC" w:rsidP="00CD24BC">
            <w:pPr>
              <w:widowControl w:val="0"/>
              <w:numPr>
                <w:ilvl w:val="0"/>
                <w:numId w:val="25"/>
              </w:numPr>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Tekax</w:t>
            </w:r>
          </w:p>
        </w:tc>
        <w:tc>
          <w:tcPr>
            <w:tcW w:w="2517" w:type="dxa"/>
            <w:shd w:val="clear" w:color="auto" w:fill="auto"/>
          </w:tcPr>
          <w:p w14:paraId="40D475F4" w14:textId="77777777" w:rsidR="00CD24BC" w:rsidRPr="0076165F" w:rsidRDefault="00CD24BC"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50,000,000.00</w:t>
            </w:r>
          </w:p>
        </w:tc>
      </w:tr>
      <w:tr w:rsidR="00CD24BC" w:rsidRPr="0076165F" w14:paraId="63DF439E" w14:textId="77777777" w:rsidTr="003F4851">
        <w:trPr>
          <w:jc w:val="center"/>
        </w:trPr>
        <w:tc>
          <w:tcPr>
            <w:tcW w:w="2692" w:type="dxa"/>
            <w:shd w:val="clear" w:color="auto" w:fill="auto"/>
          </w:tcPr>
          <w:p w14:paraId="5AD223F4" w14:textId="77777777" w:rsidR="00CD24BC" w:rsidRPr="0076165F" w:rsidRDefault="00CD24BC" w:rsidP="00CD24BC">
            <w:pPr>
              <w:widowControl w:val="0"/>
              <w:numPr>
                <w:ilvl w:val="0"/>
                <w:numId w:val="25"/>
              </w:numPr>
              <w:autoSpaceDE w:val="0"/>
              <w:autoSpaceDN w:val="0"/>
              <w:spacing w:after="0" w:line="240" w:lineRule="auto"/>
              <w:ind w:right="5"/>
              <w:jc w:val="both"/>
              <w:rPr>
                <w:rFonts w:ascii="Arial" w:eastAsia="Times New Roman" w:hAnsi="Arial"/>
                <w:sz w:val="24"/>
                <w:szCs w:val="24"/>
                <w:lang w:val="es-ES" w:eastAsia="es-ES"/>
              </w:rPr>
            </w:pPr>
            <w:proofErr w:type="spellStart"/>
            <w:r w:rsidRPr="0076165F">
              <w:rPr>
                <w:rFonts w:ascii="Arial" w:eastAsia="Times New Roman" w:hAnsi="Arial"/>
                <w:sz w:val="24"/>
                <w:szCs w:val="24"/>
                <w:lang w:val="es-ES" w:eastAsia="es-ES"/>
              </w:rPr>
              <w:t>Tetiz</w:t>
            </w:r>
            <w:proofErr w:type="spellEnd"/>
          </w:p>
        </w:tc>
        <w:tc>
          <w:tcPr>
            <w:tcW w:w="2517" w:type="dxa"/>
            <w:shd w:val="clear" w:color="auto" w:fill="auto"/>
          </w:tcPr>
          <w:p w14:paraId="4ABA3064" w14:textId="77777777" w:rsidR="00CD24BC" w:rsidRPr="0076165F" w:rsidRDefault="00CD24BC" w:rsidP="003F4851">
            <w:pPr>
              <w:widowControl w:val="0"/>
              <w:autoSpaceDE w:val="0"/>
              <w:autoSpaceDN w:val="0"/>
              <w:spacing w:after="0" w:line="24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480,000.00</w:t>
            </w:r>
          </w:p>
        </w:tc>
      </w:tr>
    </w:tbl>
    <w:p w14:paraId="0731F5B2" w14:textId="77777777" w:rsidR="00CD24BC" w:rsidRPr="0076165F" w:rsidRDefault="00CD24BC" w:rsidP="00CD24BC">
      <w:pPr>
        <w:spacing w:after="0" w:line="240" w:lineRule="auto"/>
        <w:ind w:left="709"/>
        <w:jc w:val="both"/>
        <w:rPr>
          <w:rFonts w:ascii="Arial" w:eastAsia="Times New Roman" w:hAnsi="Arial"/>
          <w:b/>
          <w:sz w:val="24"/>
          <w:szCs w:val="20"/>
          <w:u w:val="single"/>
          <w:lang w:val="es-ES_tradnl" w:eastAsia="es-ES"/>
        </w:rPr>
      </w:pPr>
    </w:p>
    <w:p w14:paraId="22AB535B"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al interpretar la fracción IV del artículo 115 de la Constitución Política de los Estados Unidos Mexicanos, sobre la hacienda municipal y los recursos que la integran, podemos advertir que su administración libre se forma de los rendimientos de los bienes que les pertenezcan, así como de las contribuciones y otros ingresos que la Legislatura establezca en su favor.</w:t>
      </w:r>
    </w:p>
    <w:p w14:paraId="21A98B8C"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p>
    <w:p w14:paraId="005B4A43"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93C9BFE"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p>
    <w:p w14:paraId="35394D32"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2534AEE"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p>
    <w:p w14:paraId="006E8F84"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 xml:space="preserve">Al respecto, conviene exponer que el artículo 41, inciso C, fracciones, I, II y XI de la Ley de Gobierno de los Municipios del Estado de Yucatán, reitera que el Ayuntamiento, a través del cabildo, tiene la atribución de administrar libremente su </w:t>
      </w:r>
      <w:r w:rsidRPr="0076165F">
        <w:rPr>
          <w:rFonts w:ascii="Arial" w:eastAsia="Times New Roman" w:hAnsi="Arial"/>
          <w:bCs/>
          <w:sz w:val="24"/>
          <w:szCs w:val="24"/>
          <w:lang w:val="es-ES" w:eastAsia="es-ES"/>
        </w:rPr>
        <w:lastRenderedPageBreak/>
        <w:t>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2C846297"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p>
    <w:p w14:paraId="6DC71811"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 correspondientes.</w:t>
      </w:r>
    </w:p>
    <w:p w14:paraId="09F32805"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p>
    <w:p w14:paraId="50530FF9"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r w:rsidRPr="0076165F">
        <w:rPr>
          <w:rFonts w:ascii="Arial" w:eastAsia="Times New Roman" w:hAnsi="Arial"/>
          <w:bCs/>
          <w:sz w:val="24"/>
          <w:szCs w:val="24"/>
          <w:lang w:val="es-ES" w:eastAsia="es-ES"/>
        </w:rPr>
        <w:t>Es por ello que, 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su normatividad, señaladas en sus respectivas leyes de hacienda municipales, en las cuales se establece el principio general de legalidad.</w:t>
      </w:r>
    </w:p>
    <w:p w14:paraId="1D989A3A" w14:textId="77777777" w:rsidR="00CD24BC" w:rsidRPr="0076165F" w:rsidRDefault="00CD24BC" w:rsidP="00CD24BC">
      <w:pPr>
        <w:spacing w:after="0" w:line="360" w:lineRule="auto"/>
        <w:ind w:firstLine="708"/>
        <w:jc w:val="both"/>
        <w:rPr>
          <w:rFonts w:ascii="Arial" w:eastAsia="Times New Roman" w:hAnsi="Arial"/>
          <w:bCs/>
          <w:sz w:val="24"/>
          <w:szCs w:val="24"/>
          <w:lang w:val="es-ES" w:eastAsia="es-ES"/>
        </w:rPr>
      </w:pPr>
    </w:p>
    <w:p w14:paraId="02616396"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bCs/>
          <w:sz w:val="24"/>
          <w:szCs w:val="24"/>
          <w:lang w:val="es-ES" w:eastAsia="es-ES"/>
        </w:rPr>
        <w:t xml:space="preserve">Por otra parte, </w:t>
      </w:r>
      <w:r w:rsidRPr="0076165F">
        <w:rPr>
          <w:rFonts w:ascii="Arial" w:eastAsia="Times New Roman" w:hAnsi="Arial"/>
          <w:sz w:val="24"/>
          <w:szCs w:val="24"/>
          <w:lang w:val="es-ES" w:eastAsia="es-ES"/>
        </w:rPr>
        <w:t xml:space="preserve">resulta pertinente manifestar dichas leyes de hacienda municipales, establecen en sus disposiciones normativas,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D363407"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5376D5C6" w14:textId="77777777" w:rsidR="00CD24BC" w:rsidRPr="0076165F" w:rsidRDefault="00CD24BC" w:rsidP="00CD24BC">
      <w:pPr>
        <w:adjustRightInd w:val="0"/>
        <w:spacing w:after="0" w:line="360" w:lineRule="auto"/>
        <w:ind w:firstLine="708"/>
        <w:jc w:val="both"/>
        <w:rPr>
          <w:rFonts w:ascii="Arial" w:eastAsia="Times New Roman" w:hAnsi="Arial"/>
          <w:sz w:val="24"/>
          <w:szCs w:val="24"/>
          <w:lang w:eastAsia="es-ES"/>
        </w:rPr>
      </w:pPr>
      <w:r w:rsidRPr="0076165F">
        <w:rPr>
          <w:rFonts w:ascii="Arial" w:eastAsia="Times New Roman" w:hAnsi="Arial"/>
          <w:sz w:val="24"/>
          <w:szCs w:val="24"/>
          <w:lang w:val="es-ES" w:eastAsia="es-ES"/>
        </w:rPr>
        <w:t xml:space="preserve">Lo anterior se robustece por los criterios emitidos por el Alto tribunal de la Nación, señalados en la jurisprudencia denominada: </w:t>
      </w:r>
      <w:r w:rsidRPr="0076165F">
        <w:rPr>
          <w:rFonts w:ascii="Arial" w:eastAsia="Times New Roman" w:hAnsi="Arial"/>
          <w:b/>
          <w:i/>
          <w:sz w:val="24"/>
          <w:szCs w:val="24"/>
          <w:lang w:eastAsia="es-ES"/>
        </w:rPr>
        <w:t>HACIENDA MUNICIPAL. PRINCIPIOS, DERECHOS Y FACULTADES EN ESA MATERIA, PREVISTOS EN EL ARTÍCULO 115, FRACCIÓN IV, DE LA CONSTITUCIÓN POLÍTICA DE LOS ESTADOS UNIDOS MEXICANOS</w:t>
      </w:r>
      <w:r w:rsidRPr="0076165F">
        <w:rPr>
          <w:rFonts w:ascii="Arial" w:eastAsia="Times New Roman" w:hAnsi="Arial"/>
          <w:sz w:val="24"/>
          <w:szCs w:val="24"/>
          <w:lang w:eastAsia="es-ES"/>
        </w:rPr>
        <w:t>.</w:t>
      </w:r>
      <w:r w:rsidRPr="0076165F">
        <w:rPr>
          <w:rFonts w:ascii="Arial" w:eastAsia="Times New Roman" w:hAnsi="Arial"/>
          <w:sz w:val="24"/>
          <w:szCs w:val="24"/>
          <w:vertAlign w:val="superscript"/>
          <w:lang w:eastAsia="es-ES"/>
        </w:rPr>
        <w:footnoteReference w:id="4"/>
      </w:r>
    </w:p>
    <w:p w14:paraId="10F3E69F" w14:textId="77777777" w:rsidR="00CD24BC" w:rsidRPr="0076165F" w:rsidRDefault="00CD24BC" w:rsidP="00CD24BC">
      <w:pPr>
        <w:widowControl w:val="0"/>
        <w:tabs>
          <w:tab w:val="left" w:pos="567"/>
          <w:tab w:val="left" w:pos="8222"/>
        </w:tabs>
        <w:spacing w:after="0"/>
        <w:jc w:val="both"/>
        <w:rPr>
          <w:rFonts w:ascii="Arial" w:eastAsia="Times New Roman" w:hAnsi="Arial"/>
          <w:sz w:val="24"/>
          <w:szCs w:val="24"/>
          <w:lang w:val="es-ES" w:eastAsia="es-ES"/>
        </w:rPr>
      </w:pPr>
    </w:p>
    <w:p w14:paraId="77E3257E"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 su vez, 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60225AC4"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sz w:val="24"/>
          <w:szCs w:val="24"/>
          <w:lang w:val="es-ES" w:eastAsia="es-ES"/>
        </w:rPr>
        <w:t>I</w:t>
      </w:r>
      <w:r w:rsidRPr="0076165F">
        <w:rPr>
          <w:rFonts w:ascii="Arial" w:eastAsia="Times New Roman" w:hAnsi="Arial"/>
          <w:b/>
          <w:i/>
          <w:lang w:val="es-ES" w:eastAsia="es-ES"/>
        </w:rPr>
        <w:t>.-</w:t>
      </w:r>
      <w:r w:rsidRPr="0076165F">
        <w:rPr>
          <w:rFonts w:ascii="Arial" w:eastAsia="Times New Roman" w:hAnsi="Arial"/>
          <w:i/>
          <w:lang w:val="es-ES" w:eastAsia="es-ES"/>
        </w:rPr>
        <w:tab/>
        <w:t xml:space="preserve">Serán ordinarios: </w:t>
      </w:r>
    </w:p>
    <w:p w14:paraId="2101051F"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Impuestos;</w:t>
      </w:r>
    </w:p>
    <w:p w14:paraId="3F2E29AA"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Derechos;</w:t>
      </w:r>
    </w:p>
    <w:p w14:paraId="69012976"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Las Contribuciones de Mejoras;</w:t>
      </w:r>
    </w:p>
    <w:p w14:paraId="6CA07160"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d)</w:t>
      </w:r>
      <w:r w:rsidRPr="0076165F">
        <w:rPr>
          <w:rFonts w:ascii="Arial" w:eastAsia="Times New Roman" w:hAnsi="Arial"/>
          <w:i/>
          <w:lang w:val="es-ES" w:eastAsia="es-ES"/>
        </w:rPr>
        <w:tab/>
        <w:t>Los Productos;</w:t>
      </w:r>
    </w:p>
    <w:p w14:paraId="622A6416"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e)</w:t>
      </w:r>
      <w:r w:rsidRPr="0076165F">
        <w:rPr>
          <w:rFonts w:ascii="Arial" w:eastAsia="Times New Roman" w:hAnsi="Arial"/>
          <w:i/>
          <w:lang w:val="es-ES" w:eastAsia="es-ES"/>
        </w:rPr>
        <w:tab/>
        <w:t>Los Aprovechamientos;</w:t>
      </w:r>
    </w:p>
    <w:p w14:paraId="0F4E95B5"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f)</w:t>
      </w:r>
      <w:r w:rsidRPr="0076165F">
        <w:rPr>
          <w:rFonts w:ascii="Arial" w:eastAsia="Times New Roman" w:hAnsi="Arial"/>
          <w:i/>
          <w:lang w:val="es-ES" w:eastAsia="es-ES"/>
        </w:rPr>
        <w:tab/>
        <w:t xml:space="preserve">           Las Participaciones, y</w:t>
      </w:r>
    </w:p>
    <w:p w14:paraId="54D201F1"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g)</w:t>
      </w:r>
      <w:r w:rsidRPr="0076165F">
        <w:rPr>
          <w:rFonts w:ascii="Arial" w:eastAsia="Times New Roman" w:hAnsi="Arial"/>
          <w:i/>
          <w:lang w:val="es-ES" w:eastAsia="es-ES"/>
        </w:rPr>
        <w:tab/>
        <w:t xml:space="preserve">Las Aportaciones. </w:t>
      </w:r>
    </w:p>
    <w:p w14:paraId="17A15571"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p>
    <w:p w14:paraId="23579031"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b/>
          <w:i/>
          <w:lang w:val="es-ES" w:eastAsia="es-ES"/>
        </w:rPr>
        <w:t>II.-</w:t>
      </w:r>
      <w:r w:rsidRPr="0076165F">
        <w:rPr>
          <w:rFonts w:ascii="Arial" w:eastAsia="Times New Roman" w:hAnsi="Arial"/>
          <w:i/>
          <w:lang w:val="es-ES" w:eastAsia="es-ES"/>
        </w:rPr>
        <w:tab/>
        <w:t xml:space="preserve">Serán extraordinarios: </w:t>
      </w:r>
    </w:p>
    <w:p w14:paraId="71436DDB"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a)</w:t>
      </w:r>
      <w:r w:rsidRPr="0076165F">
        <w:rPr>
          <w:rFonts w:ascii="Arial" w:eastAsia="Times New Roman" w:hAnsi="Arial"/>
          <w:i/>
          <w:lang w:val="es-ES" w:eastAsia="es-ES"/>
        </w:rPr>
        <w:tab/>
        <w:t>Los que autorice el Cabildo, en los términos de su competencia y de conformidad a las leyes fiscales, incluyendo los financiamientos;</w:t>
      </w:r>
    </w:p>
    <w:p w14:paraId="42DA6464"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b)</w:t>
      </w:r>
      <w:r w:rsidRPr="0076165F">
        <w:rPr>
          <w:rFonts w:ascii="Arial" w:eastAsia="Times New Roman" w:hAnsi="Arial"/>
          <w:i/>
          <w:lang w:val="es-ES" w:eastAsia="es-ES"/>
        </w:rPr>
        <w:tab/>
        <w:t>Los que autorice el Congreso del Estado, y</w:t>
      </w:r>
    </w:p>
    <w:p w14:paraId="4F4A37A7" w14:textId="77777777" w:rsidR="00CD24BC" w:rsidRPr="0076165F" w:rsidRDefault="00CD24BC" w:rsidP="00CD24BC">
      <w:pPr>
        <w:widowControl w:val="0"/>
        <w:tabs>
          <w:tab w:val="left" w:pos="426"/>
        </w:tabs>
        <w:spacing w:after="0" w:line="288" w:lineRule="auto"/>
        <w:ind w:left="567" w:right="618"/>
        <w:rPr>
          <w:rFonts w:ascii="Arial" w:eastAsia="Times New Roman" w:hAnsi="Arial"/>
          <w:i/>
          <w:lang w:val="es-ES" w:eastAsia="es-ES"/>
        </w:rPr>
      </w:pPr>
      <w:r w:rsidRPr="0076165F">
        <w:rPr>
          <w:rFonts w:ascii="Arial" w:eastAsia="Times New Roman" w:hAnsi="Arial"/>
          <w:i/>
          <w:lang w:val="es-ES" w:eastAsia="es-ES"/>
        </w:rPr>
        <w:t>c)</w:t>
      </w:r>
      <w:r w:rsidRPr="0076165F">
        <w:rPr>
          <w:rFonts w:ascii="Arial" w:eastAsia="Times New Roman" w:hAnsi="Arial"/>
          <w:i/>
          <w:lang w:val="es-ES" w:eastAsia="es-ES"/>
        </w:rPr>
        <w:tab/>
        <w:t>Los que reciban del Estado o la Federación por conceptos diferentes a las participaciones y aportaciones.</w:t>
      </w:r>
    </w:p>
    <w:p w14:paraId="6D45EE03" w14:textId="77777777" w:rsidR="00CD24BC" w:rsidRPr="0076165F" w:rsidRDefault="00CD24BC" w:rsidP="00CD24BC">
      <w:pPr>
        <w:widowControl w:val="0"/>
        <w:spacing w:after="0" w:line="240" w:lineRule="auto"/>
        <w:jc w:val="both"/>
        <w:rPr>
          <w:rFonts w:ascii="Arial" w:eastAsia="Times New Roman" w:hAnsi="Arial"/>
          <w:sz w:val="24"/>
          <w:szCs w:val="24"/>
          <w:lang w:val="es-ES" w:eastAsia="es-ES"/>
        </w:rPr>
      </w:pPr>
    </w:p>
    <w:p w14:paraId="2EC8DBF5"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Con relación a los ingresos que se consideran extraordinarios, se precisa que estos ingresos son aprobados previamente por el Cabildo y es éste quien deberá </w:t>
      </w:r>
      <w:r w:rsidRPr="0076165F">
        <w:rPr>
          <w:rFonts w:ascii="Arial" w:eastAsia="Times New Roman" w:hAnsi="Arial"/>
          <w:sz w:val="24"/>
          <w:szCs w:val="24"/>
          <w:lang w:val="es-ES" w:eastAsia="es-ES"/>
        </w:rPr>
        <w:lastRenderedPageBreak/>
        <w:t xml:space="preserve">establecer el monto, destino, los lineamientos y la vía por la que van a obtener dichos recursos, con la finalidad de tener la posibilidad de gestionar un recurso adicional como Ingreso Extraordinario, según corresponda. </w:t>
      </w:r>
    </w:p>
    <w:p w14:paraId="6AAB0B03"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p>
    <w:p w14:paraId="3ED25718"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266407DD"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p>
    <w:p w14:paraId="668E8273"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ese sentido, de los numerales antes transcritos, los ayuntamientos están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42F5577"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p>
    <w:p w14:paraId="26EE67FC"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w:t>
      </w:r>
      <w:r w:rsidRPr="0076165F">
        <w:rPr>
          <w:rFonts w:ascii="Arial" w:eastAsia="Times New Roman" w:hAnsi="Arial"/>
          <w:sz w:val="24"/>
          <w:szCs w:val="24"/>
          <w:lang w:val="es-ES" w:eastAsia="es-ES"/>
        </w:rPr>
        <w:lastRenderedPageBreak/>
        <w:t>correspondientes.</w:t>
      </w:r>
    </w:p>
    <w:p w14:paraId="2317F967"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p>
    <w:p w14:paraId="69C7A980"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BBE7F79"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p>
    <w:p w14:paraId="462D14FB"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A8ABAB9"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p>
    <w:p w14:paraId="472A275E" w14:textId="77777777" w:rsidR="00CD24BC" w:rsidRPr="0076165F" w:rsidRDefault="00CD24BC" w:rsidP="00CD24BC">
      <w:pPr>
        <w:widowControl w:val="0"/>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Bajo este parámetro, la legislatura no demerita el esfuerzo de los gobiernos municipales por allegarse mayores fuentes de ingresos para saldar los pasivos contraídos en materia de laudos o resoluciones en materia laboral, sin embargo, esta </w:t>
      </w:r>
      <w:r w:rsidRPr="0076165F">
        <w:rPr>
          <w:rFonts w:ascii="Arial" w:eastAsia="Times New Roman" w:hAnsi="Arial"/>
          <w:sz w:val="24"/>
          <w:szCs w:val="24"/>
          <w:lang w:val="es-ES" w:eastAsia="es-ES"/>
        </w:rPr>
        <w:lastRenderedPageBreak/>
        <w:t xml:space="preserve">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37352B06" w14:textId="77777777" w:rsidR="00CD24BC" w:rsidRPr="0076165F" w:rsidRDefault="00CD24BC" w:rsidP="00CD24BC">
      <w:pPr>
        <w:widowControl w:val="0"/>
        <w:spacing w:after="0" w:line="360" w:lineRule="auto"/>
        <w:jc w:val="both"/>
        <w:rPr>
          <w:rFonts w:ascii="Arial" w:eastAsia="Times New Roman" w:hAnsi="Arial"/>
          <w:sz w:val="24"/>
          <w:szCs w:val="24"/>
          <w:lang w:val="es-ES" w:eastAsia="es-ES"/>
        </w:rPr>
      </w:pPr>
    </w:p>
    <w:p w14:paraId="0DC051E9" w14:textId="77777777" w:rsidR="00CD24BC" w:rsidRPr="0076165F" w:rsidRDefault="00CD24BC" w:rsidP="00CD24BC">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SÉPTIMA. </w:t>
      </w:r>
      <w:r w:rsidRPr="0076165F">
        <w:rPr>
          <w:rFonts w:ascii="Arial" w:eastAsia="Times New Roman" w:hAnsi="Arial"/>
          <w:sz w:val="24"/>
          <w:szCs w:val="24"/>
          <w:lang w:val="es-ES" w:eastAsia="es-ES"/>
        </w:rPr>
        <w:t>Por otra parte, es menester exponer que durante el estudio y análisis de las iniciativas de ingresos municipales, se lograron advertir montos excesivos en diversos conceptos con relación al ejercicio fiscal anterior, como en el caso de impuesto predial, derechos por licencias para el establecimiento de locales con bebidas alcohólicas, derechos por mercados y centrales de abasto, aprovechamientos en espacios públicos, derechos por uso de suelo, entre otros.</w:t>
      </w:r>
    </w:p>
    <w:p w14:paraId="26130B1F" w14:textId="77777777" w:rsidR="00CD24BC" w:rsidRPr="0076165F" w:rsidRDefault="00CD24BC" w:rsidP="00CD24BC">
      <w:pPr>
        <w:widowControl w:val="0"/>
        <w:spacing w:after="0" w:line="360" w:lineRule="auto"/>
        <w:jc w:val="both"/>
        <w:rPr>
          <w:rFonts w:ascii="Arial" w:eastAsia="Times New Roman" w:hAnsi="Arial"/>
          <w:sz w:val="24"/>
          <w:szCs w:val="24"/>
          <w:lang w:val="es-ES" w:eastAsia="es-ES"/>
        </w:rPr>
      </w:pPr>
    </w:p>
    <w:p w14:paraId="439E75EF" w14:textId="77777777" w:rsidR="00CD24BC" w:rsidRPr="0076165F" w:rsidRDefault="00CD24BC" w:rsidP="00CD24BC">
      <w:pPr>
        <w:widowControl w:val="0"/>
        <w:spacing w:after="0" w:line="360" w:lineRule="auto"/>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Derivado de lo anterior y con la finalidad de respetar la libertad hacendaria de los municipios, se invitaron a los presidentes municipales para que expusieran los motivos y razonamientos necesarios que les llevaron a incrementar tales cobros excesivos por dichos conceptos, y de esta manera buscar propuestas en beneficio de la ciudadanía y con pleno respeto a los principios tributarios, obteniendo con esta práctica parlamentaria la disposición de los funcionarios municipales en su mayoría para ajustar aquéllos cobros observados.</w:t>
      </w:r>
    </w:p>
    <w:p w14:paraId="311F2B37" w14:textId="77777777" w:rsidR="00CD24BC" w:rsidRPr="0076165F" w:rsidRDefault="00CD24BC" w:rsidP="00CD24BC">
      <w:pPr>
        <w:widowControl w:val="0"/>
        <w:spacing w:after="0" w:line="360" w:lineRule="auto"/>
        <w:jc w:val="both"/>
        <w:rPr>
          <w:rFonts w:ascii="Arial" w:eastAsia="Times New Roman" w:hAnsi="Arial"/>
          <w:sz w:val="24"/>
          <w:szCs w:val="24"/>
          <w:lang w:val="es-ES" w:eastAsia="es-ES"/>
        </w:rPr>
      </w:pPr>
    </w:p>
    <w:p w14:paraId="13C9AB35" w14:textId="77777777" w:rsidR="00CD24BC" w:rsidRPr="0076165F" w:rsidRDefault="00CD24BC" w:rsidP="00CD24BC">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sz w:val="24"/>
          <w:szCs w:val="24"/>
          <w:lang w:val="es-ES" w:eastAsia="es-ES"/>
        </w:rPr>
        <w:tab/>
        <w:t xml:space="preserve">Sin embargo, es de recordar que este Poder Legislativo no está obligado a </w:t>
      </w:r>
      <w:r w:rsidRPr="0076165F">
        <w:rPr>
          <w:rFonts w:ascii="Arial" w:eastAsia="Times New Roman" w:hAnsi="Arial"/>
          <w:iCs/>
          <w:sz w:val="24"/>
          <w:szCs w:val="24"/>
          <w:lang w:val="es-ES" w:eastAsia="es-ES"/>
        </w:rPr>
        <w:t xml:space="preserve">simplemente aceptar las propuestas de los municipios, sino que las debe ponderar, estudiar y tomar en consideración, para decidir razonablemente si las admiten o no; y cuando se emita la decisión, se deberá señalar razonablemente los motivos por los cuales se decidieron modificarlas, toda vez que el Congreso del Estado de Yucatán no es una mera instancia de trámite, por lo que no está obligado a aceptar la propuesta de iniciativa íntegramente, tal como fue presentada. Este argumento se encuentra </w:t>
      </w:r>
      <w:r w:rsidRPr="0076165F">
        <w:rPr>
          <w:rFonts w:ascii="Arial" w:eastAsia="Times New Roman" w:hAnsi="Arial"/>
          <w:iCs/>
          <w:sz w:val="24"/>
          <w:szCs w:val="24"/>
          <w:lang w:val="es-ES" w:eastAsia="es-ES"/>
        </w:rPr>
        <w:lastRenderedPageBreak/>
        <w:t>fortalecido en los criterios señalados en la Controversia Constitucional 10/2014, anteriormente señalada.</w:t>
      </w:r>
    </w:p>
    <w:p w14:paraId="3AB9DC02" w14:textId="77777777" w:rsidR="00CD24BC" w:rsidRPr="0076165F" w:rsidRDefault="00CD24BC" w:rsidP="00CD24BC">
      <w:pPr>
        <w:widowControl w:val="0"/>
        <w:spacing w:after="0" w:line="240" w:lineRule="auto"/>
        <w:jc w:val="both"/>
        <w:rPr>
          <w:rFonts w:ascii="Arial" w:eastAsia="Times New Roman" w:hAnsi="Arial"/>
          <w:iCs/>
          <w:sz w:val="24"/>
          <w:szCs w:val="24"/>
          <w:lang w:val="es-ES" w:eastAsia="es-ES"/>
        </w:rPr>
      </w:pPr>
    </w:p>
    <w:p w14:paraId="073A04B5" w14:textId="77777777" w:rsidR="00CD24BC" w:rsidRPr="0076165F" w:rsidRDefault="00CD24BC" w:rsidP="00CD24BC">
      <w:pPr>
        <w:widowControl w:val="0"/>
        <w:spacing w:after="0" w:line="360" w:lineRule="auto"/>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ab/>
        <w:t>De mismo modo, la Suprema Corte de Justicia de la Nación ha reconocido que los Congresos Estatales tienen el mandato constitucional de garantizar que los ingresos municipales se regulen conforme a los principios de equidad, proporcionalidad y justicia tributaria establecidos en la fracción IV, del artículo 31 constitucional, que a la letra expone:</w:t>
      </w:r>
    </w:p>
    <w:p w14:paraId="57D34E46" w14:textId="77777777" w:rsidR="00CD24BC" w:rsidRPr="0076165F" w:rsidRDefault="00CD24BC" w:rsidP="00CD24BC">
      <w:pPr>
        <w:widowControl w:val="0"/>
        <w:spacing w:after="0" w:line="240" w:lineRule="auto"/>
        <w:jc w:val="both"/>
        <w:rPr>
          <w:rFonts w:ascii="Arial" w:eastAsia="Times New Roman" w:hAnsi="Arial"/>
          <w:i/>
          <w:lang w:val="es-ES" w:eastAsia="es-ES"/>
        </w:rPr>
      </w:pPr>
    </w:p>
    <w:p w14:paraId="606EA7F2" w14:textId="77777777" w:rsidR="00CD24BC" w:rsidRPr="0076165F" w:rsidRDefault="00CD24BC" w:rsidP="00CD24BC">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w:t>
      </w:r>
      <w:r w:rsidRPr="0076165F">
        <w:rPr>
          <w:rFonts w:ascii="Arial" w:eastAsia="Times New Roman" w:hAnsi="Arial"/>
          <w:b/>
          <w:bCs/>
          <w:i/>
          <w:lang w:val="es-ES" w:eastAsia="es-ES"/>
        </w:rPr>
        <w:t>Artículo 31.</w:t>
      </w:r>
      <w:r w:rsidRPr="0076165F">
        <w:rPr>
          <w:rFonts w:ascii="Arial" w:eastAsia="Times New Roman" w:hAnsi="Arial"/>
          <w:i/>
          <w:lang w:val="es-ES" w:eastAsia="es-ES"/>
        </w:rPr>
        <w:t xml:space="preserve"> Son obligaciones de los mexicanos:</w:t>
      </w:r>
    </w:p>
    <w:p w14:paraId="102DEAEC" w14:textId="77777777" w:rsidR="00CD24BC" w:rsidRPr="0076165F" w:rsidRDefault="00CD24BC" w:rsidP="00CD24BC">
      <w:pPr>
        <w:widowControl w:val="0"/>
        <w:spacing w:after="0" w:line="360" w:lineRule="auto"/>
        <w:ind w:left="709"/>
        <w:jc w:val="both"/>
        <w:rPr>
          <w:rFonts w:ascii="Arial" w:eastAsia="Times New Roman" w:hAnsi="Arial"/>
          <w:i/>
          <w:lang w:val="es-ES" w:eastAsia="es-ES"/>
        </w:rPr>
      </w:pPr>
      <w:r w:rsidRPr="0076165F">
        <w:rPr>
          <w:rFonts w:ascii="Arial" w:eastAsia="Times New Roman" w:hAnsi="Arial"/>
          <w:i/>
          <w:lang w:val="es-ES" w:eastAsia="es-ES"/>
        </w:rPr>
        <w:t>IV. Contribuir para los gastos públicos, así de la Federación, como de los Estados, de la Ciudad de México y del Municipio en que residan, de la manera proporcional y equitativa que dispongan las leyes.”</w:t>
      </w:r>
    </w:p>
    <w:p w14:paraId="4C9A2AD0" w14:textId="77777777" w:rsidR="00CD24BC" w:rsidRPr="0076165F" w:rsidRDefault="00CD24BC" w:rsidP="00CD24BC">
      <w:pPr>
        <w:widowControl w:val="0"/>
        <w:spacing w:after="0" w:line="240" w:lineRule="auto"/>
        <w:jc w:val="both"/>
        <w:rPr>
          <w:rFonts w:ascii="Arial" w:eastAsia="Times New Roman" w:hAnsi="Arial"/>
          <w:iCs/>
          <w:sz w:val="24"/>
          <w:szCs w:val="24"/>
          <w:lang w:val="es-ES" w:eastAsia="es-ES"/>
        </w:rPr>
      </w:pPr>
    </w:p>
    <w:p w14:paraId="5169478D"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este sentido, las legislaturas estatales actúan como garantes del equilibrio entre la autonomía municipal y los intereses generales de los ciudadanos, de acuerdo con la Tesis Aislada 1a. CXI/2010, que señalan que ésta facultad comprende tanto al impuesto predial, como a la regulación de las cuotas y tarifas aplicables a impuestos, derechos, contribuciones de mejoras y las tablas de valores unitarios de suelo y construcciones que sirvan de base para el cobro de las contribuciones sobre la propiedad inmobiliaria.</w:t>
      </w:r>
    </w:p>
    <w:p w14:paraId="4EEACBD5" w14:textId="77777777" w:rsidR="00CD24BC" w:rsidRPr="0076165F" w:rsidRDefault="00CD24BC" w:rsidP="00CD24BC">
      <w:pPr>
        <w:widowControl w:val="0"/>
        <w:spacing w:after="0" w:line="240" w:lineRule="auto"/>
        <w:ind w:firstLine="708"/>
        <w:jc w:val="both"/>
        <w:rPr>
          <w:rFonts w:ascii="Arial" w:eastAsia="Times New Roman" w:hAnsi="Arial"/>
          <w:iCs/>
          <w:sz w:val="24"/>
          <w:szCs w:val="24"/>
          <w:lang w:val="es-ES" w:eastAsia="es-ES"/>
        </w:rPr>
      </w:pPr>
    </w:p>
    <w:p w14:paraId="209A7B87"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 xml:space="preserve">De manera complementaria se </w:t>
      </w:r>
      <w:r w:rsidRPr="0076165F">
        <w:rPr>
          <w:rFonts w:ascii="Arial" w:eastAsia="Times New Roman" w:hAnsi="Arial"/>
          <w:sz w:val="24"/>
          <w:szCs w:val="24"/>
          <w:lang w:val="es-ES" w:eastAsia="es-ES"/>
        </w:rPr>
        <w:t>advierte la jurisprudencia de rubro: HACIENDA MUNICIPAL. LAS LEGISLATURAS ESTATALES PUEDEN SEPARARSE DE LAS PROPUESTAS DE LOS AYUNTAMIENTOS EN RELACION CON LOS TRIBUTOS A QUE SE REFIERE EL ARTCULOÂ 115, FRACCION IV, DE LA CONSTITUCIN POLTICA DE LOS ESTADOS UNIDOS MEXICANOS, SIEMPRE QUE LO HAGAN SOBRE UNA BASE OBJETIVA Y RAZONABLE.</w:t>
      </w:r>
      <w:r w:rsidRPr="0076165F">
        <w:rPr>
          <w:rFonts w:ascii="Arial" w:eastAsia="Times New Roman" w:hAnsi="Arial"/>
          <w:sz w:val="24"/>
          <w:szCs w:val="24"/>
          <w:vertAlign w:val="superscript"/>
          <w:lang w:val="es-ES" w:eastAsia="es-ES"/>
        </w:rPr>
        <w:footnoteReference w:id="5"/>
      </w:r>
    </w:p>
    <w:p w14:paraId="6181B904"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p>
    <w:p w14:paraId="48A3B987"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En tal vertiente, las propuestas municipales sólo pueden modificarse por la Legislatura Estatal con base en un proceso de reflexión apoyado en argumentos sustentados de manera objetiva y razonable, por lo que es válido afirmar que se trata de una potestad tributaria compartida. De tal forma que, si se toma en cuenta que dicha atribución de propuesta tiene un rango constitucional equivalente a la facultad decisoria de las legislaturas locales, es indudable que sólo pueden alejarse de las propuestas municipales si proveen para ello argumentos técnicos, independientemente de los argumentos esgrimidos por el municipio o la ausencia de estos; de ahí que cuando las legislaturas, al aprobar las leyes de ingresos municipales, modifiquen las propuestas de los Ayuntamientos referentes al impuesto predial, derechos o contribuciones de mejora,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4C11392C"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p>
    <w:p w14:paraId="4BCB319D"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Este enfoque nos permite como legislatura modificar aquellas propuestas que puedan ser excesivas, desproporcionadas o incompatibles con las condiciones económicas de la población o la política pública estatal, siempre que dicha modificación esté sustentada en un análisis técnico-jurídico, reforzando la facultad de las legislaturas para garantizar un sistema tributario eficiente, justo y equitativo, incluso si ello implica apartarse de la propuesta inicial del Municipio. Además, los Congresos Estatales tienen la responsabilidad de actuar como contrapeso a los municipios, garantizando que las decisiones en materia tributaria no solo respondan a las necesidades locales, sino que también respeten un marco fiscal y constitucional que beneficie a toda la población del estado.</w:t>
      </w:r>
    </w:p>
    <w:p w14:paraId="4D3B2BB3"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p>
    <w:p w14:paraId="72085FCB"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Por ende, los Congresos Estatales están obligados a modificar las propuestas municipales cuando estas resulten incompatibles con los principios constitucionales o cuando no reflejen una distribución adecuada de la carga tributaria, valiéndose de una argumentación técnica-jurídica atendiendo principalmente al aspecto cualitativo antes que, al cuantitativo, independientemente de los argumentos esgrimidos por los municipios o la ausencia de éstos. Su actuación, más allá de ser un acto administrativo, constituye una función esencial para asegurar la congruencia y la justicia en el sistema fiscal estatal y municipal.</w:t>
      </w:r>
    </w:p>
    <w:p w14:paraId="464FF2EB"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p>
    <w:p w14:paraId="04270B19"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Sobre este orden de ideas, dilucidamos que los cobros presentados en las propuestas municipales eran excesivos, pues al comparar éstos con los montos vigentes del ejercicio fiscal 2024, era evidente que el aumento de éstos entre un ejercicio y otro no atendía a un aumento proporcional basado en criterios inflacionarios o argumentos de la realidad material de los municipios, además de carecer de fundamentación para éstos mismos en la exposición de motivos parte de cada Ley de Ingresos.</w:t>
      </w:r>
    </w:p>
    <w:p w14:paraId="68E17CDF"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p>
    <w:p w14:paraId="2D805918"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t>Es por ello que con el fin de evitar cualquier tipo de afectación pecuniaria a los contribuyentes, decidimos hace valer esta facultad constitucional de alejarnos de las propuestas contenidas en las leyes de ingresos municipales en lo relativo a los conceptos ya señalados, sustentándose en una justificación objetiva y razonable, la cual no es un acto arbitrario, sino que precede a un análisis objetivo, racional y congruente con el marco normativo, criterios y principios constitucionales en materia tributaria, que al contrastarse con lo propuesto, evidenció no solo una vulneración a la proporcionalidad tributaria, sino a la certeza y seguridad jurídica en su vertiente fiscal.</w:t>
      </w:r>
    </w:p>
    <w:p w14:paraId="2FE6BEA5" w14:textId="77777777" w:rsidR="00CD24BC" w:rsidRPr="0076165F" w:rsidRDefault="00CD24BC" w:rsidP="00CD24BC">
      <w:pPr>
        <w:widowControl w:val="0"/>
        <w:spacing w:after="0" w:line="360" w:lineRule="auto"/>
        <w:ind w:firstLine="708"/>
        <w:jc w:val="both"/>
        <w:rPr>
          <w:rFonts w:ascii="Arial" w:eastAsia="Times New Roman" w:hAnsi="Arial"/>
          <w:iCs/>
          <w:sz w:val="24"/>
          <w:szCs w:val="24"/>
          <w:lang w:val="es-ES" w:eastAsia="es-ES"/>
        </w:rPr>
      </w:pPr>
    </w:p>
    <w:p w14:paraId="422C7A03"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Por lo que con base en las facultades constitucionalmente concedidas a este Poder Legislativo se tomó la decisión de realizar diversas modificaciones a las leyes de ingresos municipales alejándonos en algunos cobros de los propuestos en las  iniciativas presentadas, con la finalidad de no vulnerar ninguno de los principios del derecho fiscal constitucional, los cuales nos permiten tener un sistema recaudatorio legal, equitativo, proporcional y justo, que se vea reflejado en la mejor prestación de servicios públicos municipales.</w:t>
      </w:r>
    </w:p>
    <w:p w14:paraId="3F51962A"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37FA9144" w14:textId="77777777" w:rsidR="00CD24BC" w:rsidRPr="0076165F" w:rsidRDefault="00CD24BC" w:rsidP="00CD24BC">
      <w:pPr>
        <w:spacing w:after="0" w:line="360" w:lineRule="auto"/>
        <w:ind w:firstLine="708"/>
        <w:jc w:val="both"/>
        <w:rPr>
          <w:rFonts w:ascii="Arial" w:eastAsia="Times New Roman" w:hAnsi="Arial"/>
          <w:bCs/>
          <w:iCs/>
          <w:sz w:val="24"/>
          <w:szCs w:val="24"/>
          <w:lang w:val="es-ES" w:eastAsia="es-ES"/>
        </w:rPr>
      </w:pPr>
      <w:r w:rsidRPr="0076165F">
        <w:rPr>
          <w:rFonts w:ascii="Arial" w:eastAsia="Times New Roman" w:hAnsi="Arial"/>
          <w:sz w:val="24"/>
          <w:szCs w:val="24"/>
          <w:lang w:val="es-ES" w:eastAsia="es-ES"/>
        </w:rPr>
        <w:t>En línea con lo anterior y</w:t>
      </w:r>
      <w:r w:rsidRPr="0076165F">
        <w:rPr>
          <w:rFonts w:ascii="Arial" w:eastAsia="Times New Roman" w:hAnsi="Arial"/>
          <w:iCs/>
          <w:sz w:val="24"/>
          <w:szCs w:val="24"/>
          <w:lang w:val="es-ES" w:eastAsia="es-ES"/>
        </w:rPr>
        <w:t xml:space="preserve"> sustentado en criterios de proporcionalidad y de equidad, pugnamos por una actualización congruente y objetiva a las necesidades de los ciudadanos en el ámbito municipal. Por tanto, y reiterando la responsabilidad política en el desarrollo del presente estudio y análisis de las propuestas presentadas en las leyes de ingresos en comento, así como atendiendo a los principios constitucionales, los montos modificados guardan total proporción en franco respeto a lo ordenado en el artículo 31 fracción IV de la Constitución Política de los Estados Unidos Mexicanos, tal como ha quedado definido en la siguiente reflexión judicial, </w:t>
      </w:r>
      <w:r w:rsidRPr="0076165F">
        <w:rPr>
          <w:rFonts w:ascii="Arial" w:eastAsia="Times New Roman" w:hAnsi="Arial"/>
          <w:bCs/>
          <w:iCs/>
          <w:sz w:val="24"/>
          <w:szCs w:val="24"/>
          <w:lang w:val="es-ES" w:eastAsia="es-ES"/>
        </w:rPr>
        <w:t>“IMPUESTOS. EXISTE DISCRECIONALIDAD LEGISLATIVA PARA DETERMINAR SU OBJETO, SIEMPRE Y CUANDO SEAN PROPORCIONALES Y EQUITATIVOS”</w:t>
      </w:r>
      <w:r w:rsidRPr="0076165F">
        <w:rPr>
          <w:rFonts w:ascii="Arial" w:eastAsia="Times New Roman" w:hAnsi="Arial"/>
          <w:bCs/>
          <w:iCs/>
          <w:sz w:val="24"/>
          <w:szCs w:val="24"/>
          <w:vertAlign w:val="superscript"/>
          <w:lang w:val="es-ES" w:eastAsia="es-ES"/>
        </w:rPr>
        <w:footnoteReference w:id="6"/>
      </w:r>
      <w:r w:rsidRPr="0076165F">
        <w:rPr>
          <w:rFonts w:ascii="Arial" w:eastAsia="Times New Roman" w:hAnsi="Arial"/>
          <w:bCs/>
          <w:iCs/>
          <w:sz w:val="24"/>
          <w:szCs w:val="24"/>
          <w:lang w:val="es-ES" w:eastAsia="es-ES"/>
        </w:rPr>
        <w:t>.</w:t>
      </w:r>
    </w:p>
    <w:p w14:paraId="22A3A689" w14:textId="77777777" w:rsidR="00CD24BC" w:rsidRPr="0076165F" w:rsidRDefault="00CD24BC" w:rsidP="00CD24BC">
      <w:pPr>
        <w:shd w:val="clear" w:color="auto" w:fill="FFFFFF"/>
        <w:spacing w:after="0" w:line="360" w:lineRule="auto"/>
        <w:ind w:right="5"/>
        <w:jc w:val="both"/>
        <w:rPr>
          <w:rFonts w:ascii="Arial" w:eastAsia="Times New Roman" w:hAnsi="Arial"/>
          <w:b/>
          <w:bCs/>
          <w:sz w:val="24"/>
          <w:szCs w:val="24"/>
          <w:lang w:val="es-ES" w:eastAsia="es-ES"/>
        </w:rPr>
      </w:pPr>
    </w:p>
    <w:p w14:paraId="7B389E86"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OCTAVA. </w:t>
      </w:r>
      <w:r w:rsidRPr="0076165F">
        <w:rPr>
          <w:rFonts w:ascii="Arial" w:eastAsia="Times New Roman" w:hAnsi="Arial"/>
          <w:sz w:val="24"/>
          <w:szCs w:val="24"/>
          <w:lang w:val="es-ES" w:eastAsia="es-ES"/>
        </w:rPr>
        <w:t xml:space="preserve">Dando continuidad con el análisis de las iniciativas municipales señaladas en este documento legislativo, hemos de destacar que diversos ayuntamientos consideraron en sus propuestas montos por el derecho para la expedición de permisos de construcción e instalación de ductos para la extracción de cualquier hidrocarburo. Por tal virtud, se aplicó el criterio que determina que aquellas leyes de ingresos que </w:t>
      </w:r>
      <w:r w:rsidRPr="0076165F">
        <w:rPr>
          <w:rFonts w:ascii="Arial" w:eastAsia="Times New Roman" w:hAnsi="Arial"/>
          <w:sz w:val="24"/>
          <w:szCs w:val="24"/>
          <w:lang w:val="es-ES" w:eastAsia="es-ES"/>
        </w:rPr>
        <w:lastRenderedPageBreak/>
        <w:t xml:space="preserve">presenten cobros sobre dichos conceptos se deberán eliminar, ya que esta materia es exclusiva del Congreso de la Unión, señalado en el artículo 73, fracción X; y esta relacionadas directamente con las actividades de exploración, extracción y producción de hidrocarburos, previstas en las fracciones XIV y XV del artículo 4, de la Ley de Hidrocarburos. </w:t>
      </w:r>
    </w:p>
    <w:p w14:paraId="462662D4"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49AA4B70" w14:textId="77777777" w:rsidR="00CD24BC" w:rsidRPr="0076165F" w:rsidRDefault="00CD24BC" w:rsidP="00CD24BC">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Esto es, la permanencia de dichos cobros estimaría que se actualizaría una invasión a la esfera competencial federal por el hecho de que la autoridad municipal no puede fijar derechos por permisos de construcción y remodelación de pozos construidos con la finalidad de extraer hidrocarburos, pues con ello se afecta la competencia de la Federación y del Poder Ejecutivo Federal, quienes son los que ostentan las facultades en materia de hidrocarburos.</w:t>
      </w:r>
    </w:p>
    <w:p w14:paraId="251CDB29" w14:textId="77777777" w:rsidR="00CD24BC" w:rsidRPr="0076165F" w:rsidRDefault="00CD24BC" w:rsidP="00CD24BC">
      <w:pPr>
        <w:spacing w:after="101" w:line="360" w:lineRule="auto"/>
        <w:ind w:firstLine="504"/>
        <w:jc w:val="both"/>
        <w:rPr>
          <w:rFonts w:ascii="Arial" w:eastAsia="Times New Roman" w:hAnsi="Arial"/>
          <w:sz w:val="24"/>
          <w:szCs w:val="24"/>
          <w:highlight w:val="yellow"/>
          <w:lang w:val="es-ES" w:eastAsia="es-ES"/>
        </w:rPr>
      </w:pPr>
    </w:p>
    <w:p w14:paraId="5F1074B5" w14:textId="77777777" w:rsidR="00CD24BC" w:rsidRPr="0076165F" w:rsidRDefault="00CD24BC" w:rsidP="00CD24BC">
      <w:pPr>
        <w:spacing w:after="101"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contexto, es necesario señalar el artículo 115, fracción V, de la Constitución Federal, que menciona que los bienes inmuebles de la Federación ubicados en los municipios están exclusivamente bajo la jurisdicción de los poderes federales, por lo que correlacionado con el artículo 11 de la Ley de Hidrocarburos, se colige que el Ejecutivo Federal, por conducto de la Comisión Nacional de Hidrocarburos y la Comisión Reguladora de Energía, son las dependencias facultadas para expedir licencias, permisos y contratos de construcción referentes al sector de hidrocarburos, por lo cual, el cobro de estos derechos afecta la competencia de la federación al legislar y establecer contribuciones en materia de hidrocarburos. Tales premisas son dilucidadas de la Controversia Constitucional 54/2024 promovida contra el Poder Ejecutivo y Legislativo del Estado de Coahuila de Zaragoza, así como diversos precedentes de la Suprema Corte de Justicia de la Nación en la materia.</w:t>
      </w:r>
    </w:p>
    <w:p w14:paraId="155A222B"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p>
    <w:p w14:paraId="3DDD7A01" w14:textId="77777777" w:rsidR="00CD24BC" w:rsidRPr="0076165F" w:rsidRDefault="00CD24BC" w:rsidP="00CD24BC">
      <w:pPr>
        <w:shd w:val="clear" w:color="auto" w:fill="FFFFFF"/>
        <w:spacing w:after="0" w:line="360" w:lineRule="auto"/>
        <w:ind w:right="5"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 xml:space="preserve">Similar atención reciben aquéllos municipios que proponen el cobro por </w:t>
      </w:r>
      <w:bookmarkStart w:id="3" w:name="_Hlk184733381"/>
      <w:r w:rsidRPr="0076165F">
        <w:rPr>
          <w:rFonts w:ascii="Arial" w:eastAsia="Times New Roman" w:hAnsi="Arial"/>
          <w:sz w:val="24"/>
          <w:szCs w:val="24"/>
          <w:lang w:val="es-ES" w:eastAsia="es-ES"/>
        </w:rPr>
        <w:t>licencias de construcción, instalación de estructuras aéreas o subterráneas, uso de suelo,  relacionados con las telecomunicaciones y materia eléctrica</w:t>
      </w:r>
      <w:bookmarkEnd w:id="3"/>
      <w:r w:rsidRPr="0076165F">
        <w:rPr>
          <w:rFonts w:ascii="Arial" w:eastAsia="Times New Roman" w:hAnsi="Arial"/>
          <w:sz w:val="24"/>
          <w:szCs w:val="24"/>
          <w:lang w:val="es-ES" w:eastAsia="es-ES"/>
        </w:rPr>
        <w:t>, en tal virtud, se aplicó el criterio que señala que cuando se prevea dicho cobro de contribución que incida directamente en estas materias, se deberán eliminar por ser inconstitucional, toda vez que los artículos 73, fracción XVII y 28, párrafo décimo quinto de la Constitución Política de los Estados Unidos Mexicanos, establecen que todo lo relacionado a las Telecomunicaciones es competencia exclusiva del Congreso de la Unión y del Instituto Federal de Telecomunicaciones.</w:t>
      </w:r>
    </w:p>
    <w:p w14:paraId="749E3C8C"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p>
    <w:p w14:paraId="7585ABEF"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Al respecto, se precisa que el artículo el artículo 115, fracción IV, de la Constitución federal, establece que los municipios administrarán libremente su hacienda, la cual se formará de los rendimientos de los bienes que les pertenezcan, así como de las contribuciones y otros ingresos que las legislaturas establezcan a su favor, y en todo caso:</w:t>
      </w:r>
    </w:p>
    <w:p w14:paraId="2421F161"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Percibirán las contribuciones, incluyendo tasas adicionales, que establezcan los Estados sobre la propiedad inmobiliaria, de su fraccionamiento, división, consolidación, traslación y mejora, así como las que tengan por base el cambio de valor de los inmuebles.</w:t>
      </w:r>
    </w:p>
    <w:p w14:paraId="4535CBF6"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Los municipios podrán celebrar convenios con el Estado para que éste se haga cargo de algunas de las funciones relacionadas con la administración de esas contribuciones.</w:t>
      </w:r>
    </w:p>
    <w:p w14:paraId="3BDE7F46"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Las participaciones federales, que serán cubiertas por la Federación a los Municipios con arreglo a las bases, montos y plazos que anualmente se determinen por las Legislaturas de los Estados.</w:t>
      </w:r>
    </w:p>
    <w:p w14:paraId="61C57147"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Los ingresos derivados de la prestación de servicios públicos a su cargo.</w:t>
      </w:r>
    </w:p>
    <w:p w14:paraId="6E978A41"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p>
    <w:p w14:paraId="469FDB2C" w14:textId="77777777" w:rsidR="00CD24BC" w:rsidRPr="0076165F" w:rsidRDefault="00CD24BC" w:rsidP="00CD24B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 xml:space="preserve">Esta norma constitucional también dispone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7DA7EEB0"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p>
    <w:p w14:paraId="2E7CCF9F" w14:textId="77777777" w:rsidR="00CD24BC" w:rsidRPr="0076165F" w:rsidRDefault="00CD24BC" w:rsidP="00CD24B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cuanto a la fracción V, del mismo artículo constitucional, se señala que los municipios, en los términos de las leyes federales y estatales relativas, estarán facultados para:</w:t>
      </w:r>
    </w:p>
    <w:p w14:paraId="0535E001"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w:t>
      </w:r>
      <w:r w:rsidRPr="0076165F">
        <w:rPr>
          <w:rFonts w:ascii="Arial" w:eastAsia="Times New Roman" w:hAnsi="Arial"/>
          <w:sz w:val="24"/>
          <w:szCs w:val="24"/>
          <w:lang w:val="es-ES" w:eastAsia="es-ES"/>
        </w:rPr>
        <w:tab/>
        <w:t>Formular, aprobar y administrar la zonificación y planes de desarrollo urbano municipal, así como los planes en materia de movilidad y seguridad vial.</w:t>
      </w:r>
    </w:p>
    <w:p w14:paraId="7EDF46A6"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b.</w:t>
      </w:r>
      <w:r w:rsidRPr="0076165F">
        <w:rPr>
          <w:rFonts w:ascii="Arial" w:eastAsia="Times New Roman" w:hAnsi="Arial"/>
          <w:sz w:val="24"/>
          <w:szCs w:val="24"/>
          <w:lang w:val="es-ES" w:eastAsia="es-ES"/>
        </w:rPr>
        <w:tab/>
        <w:t>Participar en la creación y administración de sus reservas territoriales.</w:t>
      </w:r>
    </w:p>
    <w:p w14:paraId="56A648A9"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w:t>
      </w:r>
      <w:r w:rsidRPr="0076165F">
        <w:rPr>
          <w:rFonts w:ascii="Arial" w:eastAsia="Times New Roman" w:hAnsi="Arial"/>
          <w:sz w:val="24"/>
          <w:szCs w:val="24"/>
          <w:lang w:val="es-ES" w:eastAsia="es-ES"/>
        </w:rPr>
        <w:tab/>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14:paraId="443E6D10"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w:t>
      </w:r>
      <w:r w:rsidRPr="0076165F">
        <w:rPr>
          <w:rFonts w:ascii="Arial" w:eastAsia="Times New Roman" w:hAnsi="Arial"/>
          <w:sz w:val="24"/>
          <w:szCs w:val="24"/>
          <w:lang w:val="es-ES" w:eastAsia="es-ES"/>
        </w:rPr>
        <w:tab/>
        <w:t>Autorizar, controlar y vigilar la utilización del suelo, en el ámbito de su competencia, en sus jurisdicciones territoriales.</w:t>
      </w:r>
    </w:p>
    <w:p w14:paraId="29EAC758"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w:t>
      </w:r>
      <w:r w:rsidRPr="0076165F">
        <w:rPr>
          <w:rFonts w:ascii="Arial" w:eastAsia="Times New Roman" w:hAnsi="Arial"/>
          <w:sz w:val="24"/>
          <w:szCs w:val="24"/>
          <w:lang w:val="es-ES" w:eastAsia="es-ES"/>
        </w:rPr>
        <w:tab/>
        <w:t>Intervenir en la regularización de la tenencia de la tierra urbana.</w:t>
      </w:r>
    </w:p>
    <w:p w14:paraId="2EEE4E37"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w:t>
      </w:r>
      <w:r w:rsidRPr="0076165F">
        <w:rPr>
          <w:rFonts w:ascii="Arial" w:eastAsia="Times New Roman" w:hAnsi="Arial"/>
          <w:sz w:val="24"/>
          <w:szCs w:val="24"/>
          <w:lang w:val="es-ES" w:eastAsia="es-ES"/>
        </w:rPr>
        <w:tab/>
        <w:t>Otorgar licencias y permisos para construcciones.</w:t>
      </w:r>
    </w:p>
    <w:p w14:paraId="073B6641"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g.</w:t>
      </w:r>
      <w:r w:rsidRPr="0076165F">
        <w:rPr>
          <w:rFonts w:ascii="Arial" w:eastAsia="Times New Roman" w:hAnsi="Arial"/>
          <w:sz w:val="24"/>
          <w:szCs w:val="24"/>
          <w:lang w:val="es-ES" w:eastAsia="es-ES"/>
        </w:rPr>
        <w:tab/>
        <w:t>Participar en la creación y administración de zonas de reservas ecológicas y en la elaboración y aplicación de programas de ordenamiento en esta materia.</w:t>
      </w:r>
    </w:p>
    <w:p w14:paraId="0CCE9007"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h.</w:t>
      </w:r>
      <w:r w:rsidRPr="0076165F">
        <w:rPr>
          <w:rFonts w:ascii="Arial" w:eastAsia="Times New Roman" w:hAnsi="Arial"/>
          <w:sz w:val="24"/>
          <w:szCs w:val="24"/>
          <w:lang w:val="es-ES" w:eastAsia="es-ES"/>
        </w:rPr>
        <w:tab/>
        <w:t>Intervenir en la formulación y aplicación de programas de transporte público de pasajeros cuando aquellos afecten su ámbito territorial.</w:t>
      </w:r>
    </w:p>
    <w:p w14:paraId="6B7809CC" w14:textId="77777777" w:rsidR="00CD24BC" w:rsidRPr="0076165F" w:rsidRDefault="00CD24BC" w:rsidP="00CD24BC">
      <w:pPr>
        <w:shd w:val="clear" w:color="auto" w:fill="FFFFFF"/>
        <w:spacing w:after="0" w:line="360" w:lineRule="auto"/>
        <w:ind w:left="567"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i.</w:t>
      </w:r>
      <w:r w:rsidRPr="0076165F">
        <w:rPr>
          <w:rFonts w:ascii="Arial" w:eastAsia="Times New Roman" w:hAnsi="Arial"/>
          <w:sz w:val="24"/>
          <w:szCs w:val="24"/>
          <w:lang w:val="es-ES" w:eastAsia="es-ES"/>
        </w:rPr>
        <w:tab/>
        <w:t>Celebrar convenios para la administración y custodia de las zonas federales.</w:t>
      </w:r>
    </w:p>
    <w:p w14:paraId="771CCC38"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p>
    <w:p w14:paraId="26D37CF4" w14:textId="77777777" w:rsidR="00CD24BC" w:rsidRPr="0076165F" w:rsidRDefault="00CD24BC" w:rsidP="00CD24B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El último párrafo de dicha fracción dispone que en lo conducente y de conformidad a los fines señalados en el párrafo tercero del artículo 27 de la Constitución General, los municipios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antes transcrito.</w:t>
      </w:r>
    </w:p>
    <w:p w14:paraId="1A6D52D1"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p>
    <w:p w14:paraId="6F0EDBE9" w14:textId="77777777" w:rsidR="00CD24BC" w:rsidRPr="0076165F" w:rsidRDefault="00CD24BC" w:rsidP="00CD24BC">
      <w:pPr>
        <w:shd w:val="clear" w:color="auto" w:fill="FFFFFF"/>
        <w:spacing w:after="0" w:line="360" w:lineRule="auto"/>
        <w:ind w:right="5" w:firstLine="567"/>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en línea con lo anterior, se reconoce la facultad constitucional del gobierno municipal de imponer gravámenes a la propiedad inmobiliaria, a través del otorgamiento de   diversas licencias y permisos, sin embargo, en el caso de las propuestas contenidas en las iniciativas, estas exceden los supuestos sobre los cuales la autoridad municipal puede percibir una contribución por el servicio otorgado a la ciudadanía.</w:t>
      </w:r>
    </w:p>
    <w:p w14:paraId="28177E7F"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highlight w:val="yellow"/>
          <w:lang w:val="es-ES" w:eastAsia="es-ES"/>
        </w:rPr>
      </w:pPr>
    </w:p>
    <w:p w14:paraId="285C8390"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Ahora bien, de acuerdo con el referido numeral 28, respecto a estas áreas estratégicas, éste señala que le corresponde a la Federación, a través de las autoridades competentes fijar las contraprestaciones que habrán de pagarse por la concesión del espectro electromagnético, el cual comprende la prestación del servicio de telecomunicaciones, así como el servicio público de transmisión y distribución de energía eléctrica, es decir su regulación, promoción y supervisión del uso, aprovechamiento y explotación, a través de infraestructura activa, pasiva y otros insumos esenciales.</w:t>
      </w:r>
    </w:p>
    <w:p w14:paraId="002FF259" w14:textId="77777777" w:rsidR="00CD24BC" w:rsidRPr="0076165F" w:rsidRDefault="00CD24BC" w:rsidP="00CD24BC">
      <w:pPr>
        <w:shd w:val="clear" w:color="auto" w:fill="FFFFFF"/>
        <w:spacing w:after="0" w:line="360" w:lineRule="auto"/>
        <w:ind w:right="5" w:firstLine="708"/>
        <w:jc w:val="both"/>
        <w:rPr>
          <w:rFonts w:ascii="Arial" w:eastAsia="Times New Roman" w:hAnsi="Arial"/>
          <w:sz w:val="24"/>
          <w:szCs w:val="24"/>
          <w:lang w:val="es-ES" w:eastAsia="es-ES"/>
        </w:rPr>
      </w:pPr>
    </w:p>
    <w:p w14:paraId="4A70FB4D"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t xml:space="preserve">Por lo que, de acuerdo con lo esgrimido en estos argumentos, si bien es cierto que los municipios cuentan con competencia constitucional para gravar el uso de la tierra y la propiedad inmobiliaria, el hecho de establecer un cobro relacionado con </w:t>
      </w:r>
      <w:r w:rsidRPr="0076165F">
        <w:rPr>
          <w:rFonts w:ascii="Arial" w:eastAsia="Times New Roman" w:hAnsi="Arial"/>
          <w:sz w:val="24"/>
          <w:szCs w:val="24"/>
          <w:lang w:val="es-ES" w:eastAsia="es-ES"/>
        </w:rPr>
        <w:lastRenderedPageBreak/>
        <w:t>estas materias, ya sea a través de la expedición de licencias o permisos como los ya mencionados va más allá de dicha facultad, pues al permitir que los ayuntamientos mantengan dicha propuesta, indudablemente se estaría invadiendo la competencia del Congreso de la Unión.</w:t>
      </w:r>
    </w:p>
    <w:p w14:paraId="6B6590F0"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327638DB"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En tal tesitura, como bien se ha mencionado, por mandato constitucional corresponde exclusivamente al Congreso de la Unión legislar en estas materias. Y si bien es cierto que los municipios en sus leyes de ingresos propuestas no establecen cobros por otorgamiento de concesiones, sí prevén pago por licencias de construcción, instalación de estructuras aéreas o subterráneas, uso de suelo, u otras relacionadas con las telecomunicaciones y materia eléctrica, circunstancia que implicaría que a la hacienda municipal se enterarán montos con motivo de la expedición de estas por cualquiera de los supuestos antes descritos.  </w:t>
      </w:r>
    </w:p>
    <w:p w14:paraId="7C6FF229" w14:textId="77777777" w:rsidR="00CD24BC" w:rsidRPr="0076165F" w:rsidRDefault="00CD24BC" w:rsidP="00CD24BC">
      <w:pPr>
        <w:spacing w:after="0" w:line="360" w:lineRule="auto"/>
        <w:ind w:firstLine="504"/>
        <w:jc w:val="both"/>
        <w:rPr>
          <w:rFonts w:ascii="Arial" w:eastAsia="Times New Roman" w:hAnsi="Arial"/>
          <w:sz w:val="24"/>
          <w:szCs w:val="24"/>
          <w:highlight w:val="yellow"/>
          <w:lang w:val="es-ES" w:eastAsia="es-ES"/>
        </w:rPr>
      </w:pPr>
    </w:p>
    <w:p w14:paraId="6DAA0F78"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mantener estos cobros en las leyes de ingresos municipales resultaría inconstitucional, toda vez que, se estaría contraviniendo a lo dispuesto por la Constitución Política de los Estados Unidos Mexicanos, así como lo señalado por la Suprema Corte de Justicia de la Nación en materia competencial y tributaria, respecto a estas áreas, como lo es la Sentencia dictada por el Tribunal Pleno en la Acción de Inconstitucionalidad 3/2023 y sus acumuladas.</w:t>
      </w:r>
    </w:p>
    <w:p w14:paraId="3020631C"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6586EE07" w14:textId="77777777" w:rsidR="00CD24BC" w:rsidRPr="0076165F" w:rsidRDefault="00CD24BC" w:rsidP="00CD24BC">
      <w:pPr>
        <w:spacing w:after="0" w:line="360" w:lineRule="auto"/>
        <w:jc w:val="both"/>
        <w:rPr>
          <w:rFonts w:ascii="Arial" w:eastAsia="Times New Roman" w:hAnsi="Arial"/>
          <w:sz w:val="24"/>
          <w:szCs w:val="24"/>
          <w:lang w:val="es-ES" w:eastAsia="es-ES"/>
        </w:rPr>
      </w:pPr>
      <w:r w:rsidRPr="0076165F">
        <w:rPr>
          <w:rFonts w:ascii="Arial" w:eastAsia="Times New Roman" w:hAnsi="Arial"/>
          <w:b/>
          <w:bCs/>
          <w:sz w:val="24"/>
          <w:szCs w:val="24"/>
          <w:lang w:val="es-ES" w:eastAsia="es-ES"/>
        </w:rPr>
        <w:t xml:space="preserve">NOVENA. </w:t>
      </w:r>
      <w:r w:rsidRPr="0076165F">
        <w:rPr>
          <w:rFonts w:ascii="Arial" w:eastAsia="Times New Roman" w:hAnsi="Arial"/>
          <w:sz w:val="24"/>
          <w:szCs w:val="24"/>
          <w:lang w:val="es-ES" w:eastAsia="es-ES"/>
        </w:rPr>
        <w:t xml:space="preserve">Por otra parte, y de manera concatenada con los criterios señalados en la consideración anterior, es necesario señalar que, los municipios del Estado de Yucatán tampoco pueden cobrar derechos por tales conceptos, toda vez que nuestra entidad se adhirió al Sistema Nacional de Coordinación Fiscal, a través del Convenio de adhesión al Sistema Nacional de Coordinación Fiscal que celebran la Secretaría de Hacienda y Crédito Público y el Gobierno del Estado de Yucatán, en fecha 28 de </w:t>
      </w:r>
      <w:r w:rsidRPr="0076165F">
        <w:rPr>
          <w:rFonts w:ascii="Arial" w:eastAsia="Times New Roman" w:hAnsi="Arial"/>
          <w:sz w:val="24"/>
          <w:szCs w:val="24"/>
          <w:lang w:val="es-ES" w:eastAsia="es-ES"/>
        </w:rPr>
        <w:lastRenderedPageBreak/>
        <w:t>diciembre de 1979, y la Declaratoria de coordinación en materia federal de Derechos entre la Federación y el Estado de Yucatán, publicado el 30 de marzo del año 1983 en el Diario Oficial de la Federación.</w:t>
      </w:r>
    </w:p>
    <w:p w14:paraId="04667FFA"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6B484FD7"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Por lo que, en ese sentido, y de conformidad con lo dispuesto en las fracciones I y III del artículo 10-A de la Ley de Coordinación Fiscal, las entidades federativas coordinadas a dicho Sistema Nacional, en materia de derechos, no mantendrán en vigor derechos estatales o municipales por licencias, concesiones, permisos o autorizaciones, o bien obligaciones o requisitos que condicionen el ejercicio de actividades industriales o comerciales y de prestación de servicios, así como uso de las vías públicas o la tenencia de bienes sobre las mismas. Es de señalar que este artículo prevé diversos casos de excepción, sin embargo, la fracción V del mismo, establece expresamente la prohibición de cobrar derechos por cualquier concepto relacionado con actividades o servicios en materia eléctrica, de hidrocarburos o de telecomunicaciones.</w:t>
      </w:r>
    </w:p>
    <w:p w14:paraId="502BE9E2"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3FB869D4"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Lo anterior, encuentra sustento en los siguientes precedentes de la Suprema Corte de Justicia de la Nación:</w:t>
      </w:r>
    </w:p>
    <w:p w14:paraId="20C0C4FB"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1E51984B"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Tesis: 2ª./J. 119/2012 (10ª.) DERECHOS POR PERMISOS Y LICENCIAS PARA REALIZAR LAS OBRAS NECESARIAS EN LA INSTALACIÓN DE CASETAS PARA PRESTAR EL SERVICIO PÚBLICO DE TELEFONÍA Y POR EL USO DEL SUELO CON ESE MOTIVO. LOS MUNICIPIOS DE UNA ENTIDAD FEDERATIVA ADHERIDA AL SISTEMA NACIONAL DE COORDINACIÓN EN MATERIA FEDERAL DE DERECHOS ESTÁN IMPEDIDOS PARA REQUERIR SU PAGO.</w:t>
      </w:r>
      <w:r w:rsidRPr="0076165F">
        <w:rPr>
          <w:rFonts w:ascii="Times New Roman" w:eastAsia="Times New Roman" w:hAnsi="Times New Roman" w:cs="Times New Roman"/>
          <w:sz w:val="24"/>
          <w:szCs w:val="24"/>
          <w:vertAlign w:val="superscript"/>
          <w:lang w:val="es-ES" w:eastAsia="es-ES"/>
        </w:rPr>
        <w:t xml:space="preserve"> </w:t>
      </w:r>
      <w:r w:rsidRPr="0076165F">
        <w:rPr>
          <w:rFonts w:ascii="Times New Roman" w:eastAsia="Times New Roman" w:hAnsi="Times New Roman" w:cs="Times New Roman"/>
          <w:sz w:val="24"/>
          <w:szCs w:val="24"/>
          <w:vertAlign w:val="superscript"/>
          <w:lang w:val="es-ES" w:eastAsia="es-ES"/>
        </w:rPr>
        <w:footnoteReference w:id="7"/>
      </w:r>
    </w:p>
    <w:p w14:paraId="3B4C372F"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75EDD9EA"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lastRenderedPageBreak/>
        <w:t>•</w:t>
      </w:r>
      <w:r w:rsidRPr="0076165F">
        <w:rPr>
          <w:rFonts w:ascii="Arial" w:eastAsia="Times New Roman" w:hAnsi="Arial"/>
          <w:sz w:val="24"/>
          <w:szCs w:val="24"/>
          <w:lang w:val="es-ES" w:eastAsia="es-ES"/>
        </w:rPr>
        <w:tab/>
        <w:t>JUICIO SOBRE EL CUMPLIMIENTO DE LOS CONVENIOS DE COORDINACIÓN FISCAL 1/2022. Demanda interpuesta por el Poder Ejecutivo del Estado de Morelos contra la Secretaría de Hacienda y Crédito Público.</w:t>
      </w:r>
    </w:p>
    <w:p w14:paraId="40CDF007"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377E067F"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w:t>
      </w:r>
      <w:r w:rsidRPr="0076165F">
        <w:rPr>
          <w:rFonts w:ascii="Arial" w:eastAsia="Times New Roman" w:hAnsi="Arial"/>
          <w:sz w:val="24"/>
          <w:szCs w:val="24"/>
          <w:lang w:val="es-ES" w:eastAsia="es-ES"/>
        </w:rPr>
        <w:tab/>
        <w:t>CONTRADICCIÓN DE TESIS 270/2012.</w:t>
      </w:r>
    </w:p>
    <w:p w14:paraId="78CC1AB0" w14:textId="77777777" w:rsidR="00CD24BC" w:rsidRPr="0076165F" w:rsidRDefault="00CD24BC" w:rsidP="00CD24BC">
      <w:pPr>
        <w:spacing w:after="0" w:line="360" w:lineRule="auto"/>
        <w:jc w:val="both"/>
        <w:rPr>
          <w:rFonts w:ascii="Arial" w:eastAsia="Times New Roman" w:hAnsi="Arial"/>
          <w:sz w:val="24"/>
          <w:szCs w:val="24"/>
          <w:lang w:val="es-ES" w:eastAsia="es-ES"/>
        </w:rPr>
      </w:pPr>
    </w:p>
    <w:p w14:paraId="4928C900"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dichos precedentes podemos destacar que la Coordinación de impuestos es un mecanismo de participaciones federales de origen consensual permite que los Estados celebren convenios de coordinación fiscal mediante los cuales, a cambio de abstenerse de imponer gravámenes sobre las materias que también prevén las leyes federales, se pueden beneficiar de un porcentaje del Fondo General de Participaciones formado con la recaudación de gravámenes locales o municipales que las Entidades hayan convenido con la Federación. Es así que, cuando un Estado decide incorporarse al Sistema Nacional de Coordinación Fiscal, no implica la renuncia a una potestad constitucional, pues, en primer lugar, es precisamente el ejercicio de esa potestad la que le permite celebrar esos acuerdos, y ésta no puede considerarse disponible para la entidad federativa, sino que únicamente representa un compromiso que asume de no ejercer dicha potestad tributaria en los términos previstos en el convenio que se celebró al amparo de la Ley de Coordinación Fiscal.</w:t>
      </w:r>
    </w:p>
    <w:p w14:paraId="3CB3D09A"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59568859"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de conformidad con lo señalado en el artículo 10</w:t>
      </w:r>
      <w:r w:rsidRPr="0076165F">
        <w:rPr>
          <w:rFonts w:ascii="Arial" w:eastAsia="Times New Roman" w:hAnsi="Arial"/>
          <w:sz w:val="24"/>
          <w:szCs w:val="24"/>
          <w:vertAlign w:val="superscript"/>
          <w:lang w:val="es-ES" w:eastAsia="es-ES"/>
        </w:rPr>
        <w:footnoteReference w:id="8"/>
      </w:r>
      <w:r w:rsidRPr="0076165F">
        <w:rPr>
          <w:rFonts w:ascii="Arial" w:eastAsia="Times New Roman" w:hAnsi="Arial"/>
          <w:sz w:val="24"/>
          <w:szCs w:val="24"/>
          <w:lang w:val="es-ES" w:eastAsia="es-ES"/>
        </w:rPr>
        <w:t xml:space="preserve"> de la Ley de Coordinación Fiscal, cada entidad federativa establece directamente mediante un convenio de adhesión al Sistema Nacional Coordinación Fiscal cuáles son las </w:t>
      </w:r>
      <w:r w:rsidRPr="0076165F">
        <w:rPr>
          <w:rFonts w:ascii="Arial" w:eastAsia="Times New Roman" w:hAnsi="Arial"/>
          <w:sz w:val="24"/>
          <w:szCs w:val="24"/>
          <w:lang w:val="es-ES" w:eastAsia="es-ES"/>
        </w:rPr>
        <w:lastRenderedPageBreak/>
        <w:t>contribuciones a las cuales renuncia a ejercer su potestad para legislar. Las entidades que celebran los convenios deben renunciar a establecer contribuciones sobre hechos o actos jurídicos gravados por la Federación a cambio de recibir participación en la recaudación de los gravámenes de carácter federal.</w:t>
      </w:r>
    </w:p>
    <w:p w14:paraId="67B9A774"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585A0746"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Como se puede observar, un Estado puede comprometerse a no ejercer su potestad tributaria por cuanto hace a ciertos impuestos para acceder a la participación que le corresponde en la recaudación federal de determinados impuestos, así como también puede elegir no ejercer su potestad tributaria por cuanto hace a ciertos derechos. Ambas decisiones tienen un efecto similar en torno a la renuncia del Estado a su potestad para gravar con el pago de derecho aquellas cuestiones sobre las que acuerde coordinarse con la Federación para que sea ésta la que regule y recaude lo respectivo, siendo el artículo 10-A de la Ley de Coordinación Fiscal el fundamento específico de la potestad para coordinarse en materia de derechos.</w:t>
      </w:r>
      <w:r w:rsidRPr="0076165F">
        <w:rPr>
          <w:rFonts w:ascii="Arial" w:eastAsia="Times New Roman" w:hAnsi="Arial"/>
          <w:sz w:val="24"/>
          <w:szCs w:val="24"/>
          <w:vertAlign w:val="superscript"/>
          <w:lang w:val="es-ES" w:eastAsia="es-ES"/>
        </w:rPr>
        <w:footnoteReference w:id="9"/>
      </w:r>
    </w:p>
    <w:p w14:paraId="10D5E51F"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ab/>
      </w:r>
    </w:p>
    <w:p w14:paraId="78C37DD2"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De acuerdo con ese precepto, las entidades que voluntariamente opten por celebrar un convenio de coordinación en materia de derechos no mantendrán en vigor ciertos derechos estatales o municipales, entre los que se encuentran el cobro de </w:t>
      </w:r>
      <w:r w:rsidRPr="0076165F">
        <w:rPr>
          <w:rFonts w:ascii="Arial" w:eastAsia="Times New Roman" w:hAnsi="Arial"/>
          <w:sz w:val="24"/>
          <w:szCs w:val="24"/>
          <w:lang w:val="es-ES" w:eastAsia="es-ES"/>
        </w:rPr>
        <w:lastRenderedPageBreak/>
        <w:t>derechos en relación con las actividades o servicios que realicen o presten las personas respecto del uso, goce, explotación o aprovechamiento de bienes de dominio público en materia eléctrica, de hidrocarburos o de telecomunicaciones.</w:t>
      </w:r>
    </w:p>
    <w:p w14:paraId="7EBEDDE4"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7B5376B9"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De tal forma que la coordinación fiscal en materia de distribución de potestades tributarias normativas, para el establecimiento de contribuciones, tiene como efecto que la entidad federativa realice un compromiso para no ejercer su potestad tributaria, como una expresión omisiva, entendida como la facultad para establecer una contribución donde halle riqueza para sufragar el gasto público. Es decir, pudiendo establecer contribuciones sobre determinadas fuentes de ingresos, ya sea impuestos o bien derechos, se compromete a no hacerlo a cambio de participar en la recaudación de ingresos federales participables.</w:t>
      </w:r>
    </w:p>
    <w:p w14:paraId="4BFEA3FF"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02E6532B"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este orden de ideas, los derechos por los permisos y licencias para la realización de obras con el propósito de instalar los implementos necesarios para la prestación del servicio público, como la instalación de postes o cableado, son de los que no deben mantener en vigor las entidades federativas que opten por coordinarse en derechos con la Federación, por lo que las leyes que los contienen contravienen lo dispuesto en el citado artículo 10-A de la Ley de Coordinación Fiscal.</w:t>
      </w:r>
    </w:p>
    <w:p w14:paraId="591150D1"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0856449D"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Asimismo, se destaca que, aun cuando dicho precepto legal prevea ciertas excepciones es insuficiente para justificar cobro alguno de tales conceptos. En efecto, si bien en el inciso a), de la fracción I, de mencionado artículo prevé como excepción las licencias de construcción esa excepción no es aplicable a los derechos por los permisos y licencias para la realización de obras con el propósito de instalar postes o cableados en la vía pública, así como los relativos al uso del suelo con motivo de su instalación, pues de aceptarse lo contrario, se estaría permitiendo, en última instancia, </w:t>
      </w:r>
      <w:r w:rsidRPr="0076165F">
        <w:rPr>
          <w:rFonts w:ascii="Arial" w:eastAsia="Times New Roman" w:hAnsi="Arial"/>
          <w:sz w:val="24"/>
          <w:szCs w:val="24"/>
          <w:lang w:val="es-ES" w:eastAsia="es-ES"/>
        </w:rPr>
        <w:lastRenderedPageBreak/>
        <w:t>el cobro de derechos que condicionan el ejercicio de la prestación un servicio público concesionado como es el de las señaladas en esta disposición normativa.</w:t>
      </w:r>
    </w:p>
    <w:p w14:paraId="7092E79D"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4ECC7529"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consecuencia, el estado de Yucatán y sus municipios, al estar adherido al Sistema Nacional de Coordinación Fiscal, se encuentra impedido para cobrar los derechos por permisos y licencias que permitan realizar las obras necesarias para la prestación de servicios, así como el derecho por el uso de las vías públicas, tanto en materia eléctrica como de telecomunicaciones.</w:t>
      </w:r>
    </w:p>
    <w:p w14:paraId="14B77AF1" w14:textId="77777777" w:rsidR="00CD24BC" w:rsidRPr="0076165F" w:rsidRDefault="00CD24BC" w:rsidP="00CD24BC">
      <w:pPr>
        <w:spacing w:after="0" w:line="360" w:lineRule="auto"/>
        <w:ind w:firstLine="504"/>
        <w:jc w:val="both"/>
        <w:rPr>
          <w:rFonts w:ascii="Arial" w:eastAsia="Times New Roman" w:hAnsi="Arial"/>
          <w:sz w:val="24"/>
          <w:szCs w:val="24"/>
          <w:lang w:val="es-ES" w:eastAsia="es-ES"/>
        </w:rPr>
      </w:pPr>
    </w:p>
    <w:p w14:paraId="5DF4293E" w14:textId="77777777" w:rsidR="00CD24BC" w:rsidRPr="0076165F" w:rsidRDefault="00CD24BC" w:rsidP="00CD24BC">
      <w:pPr>
        <w:shd w:val="clear" w:color="auto" w:fill="FFFFFF"/>
        <w:spacing w:after="0" w:line="360" w:lineRule="auto"/>
        <w:ind w:right="5"/>
        <w:jc w:val="both"/>
        <w:rPr>
          <w:rFonts w:ascii="Arial" w:eastAsia="Times New Roman" w:hAnsi="Arial"/>
          <w:sz w:val="24"/>
          <w:szCs w:val="24"/>
          <w:lang w:val="es-ES" w:eastAsia="es-ES"/>
        </w:rPr>
      </w:pPr>
      <w:r w:rsidRPr="0076165F">
        <w:rPr>
          <w:rFonts w:ascii="Arial" w:eastAsia="Times New Roman" w:hAnsi="Arial"/>
          <w:b/>
          <w:sz w:val="24"/>
          <w:szCs w:val="24"/>
          <w:lang w:val="es-ES" w:eastAsia="es-ES"/>
        </w:rPr>
        <w:t xml:space="preserve">DÉCIMA. </w:t>
      </w:r>
      <w:r w:rsidRPr="0076165F">
        <w:rPr>
          <w:rFonts w:ascii="Arial" w:eastAsia="Times New Roman" w:hAnsi="Arial"/>
          <w:bCs/>
          <w:sz w:val="24"/>
          <w:szCs w:val="24"/>
          <w:lang w:val="es-ES" w:eastAsia="es-ES"/>
        </w:rPr>
        <w:t>En otra vertiente</w:t>
      </w:r>
      <w:r w:rsidRPr="0076165F">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ADF2A7A"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p>
    <w:p w14:paraId="5E6D8D4B" w14:textId="77777777" w:rsidR="00CD24BC" w:rsidRPr="0076165F" w:rsidRDefault="00CD24BC" w:rsidP="00CD24BC">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Asimismo, conviene destacar la aplicación del criterio que versa en materia de derechos por acceso a la información pública, toda vez que determinadas </w:t>
      </w:r>
      <w:r w:rsidRPr="0076165F">
        <w:rPr>
          <w:rFonts w:ascii="Arial" w:eastAsia="Times New Roman" w:hAnsi="Arial"/>
          <w:sz w:val="24"/>
          <w:szCs w:val="24"/>
          <w:lang w:val="es-ES_tradnl" w:eastAsia="es-ES"/>
        </w:rPr>
        <w:t xml:space="preserve">leyes de ingresos municipales se homologaron al criterio en el que se establece el costo máximo para la información en copias simples, certificadas y en disco compacto, de tal forma que, acorde con la Ley General de Transparencia y Acceso a la Información Pública, sólo se debe requerir el cobro de la reproducción y del envío de la información, </w:t>
      </w:r>
      <w:r w:rsidRPr="0076165F">
        <w:rPr>
          <w:rFonts w:ascii="Arial" w:eastAsia="Times New Roman" w:hAnsi="Arial"/>
          <w:sz w:val="24"/>
          <w:szCs w:val="24"/>
          <w:lang w:val="es-ES_tradnl" w:eastAsia="es-ES"/>
        </w:rPr>
        <w:lastRenderedPageBreak/>
        <w:t xml:space="preserve">pero no de su búsqueda, y que, si bien el legislador local consideró que solamente se cobrara lo relativo a los materiales para reproducir la información, lo cierto es que no hicieron explícitos los costos y la metodología que le permitió arribar a los mismos. </w:t>
      </w:r>
    </w:p>
    <w:p w14:paraId="2BD26391" w14:textId="77777777" w:rsidR="00CD24BC" w:rsidRPr="0076165F" w:rsidRDefault="00CD24BC" w:rsidP="00CD24BC">
      <w:pPr>
        <w:spacing w:after="0" w:line="240" w:lineRule="auto"/>
        <w:ind w:firstLine="708"/>
        <w:jc w:val="both"/>
        <w:rPr>
          <w:rFonts w:ascii="Arial" w:eastAsia="Times New Roman" w:hAnsi="Arial"/>
          <w:sz w:val="24"/>
          <w:szCs w:val="24"/>
          <w:lang w:val="es-ES" w:eastAsia="es-ES"/>
        </w:rPr>
      </w:pPr>
    </w:p>
    <w:p w14:paraId="41428C0A" w14:textId="77777777" w:rsidR="00CD24BC" w:rsidRPr="0076165F" w:rsidRDefault="00CD24BC" w:rsidP="00CD24BC">
      <w:pPr>
        <w:spacing w:after="0" w:line="360" w:lineRule="auto"/>
        <w:ind w:firstLine="708"/>
        <w:jc w:val="both"/>
        <w:rPr>
          <w:rFonts w:ascii="Arial" w:eastAsia="Times New Roman" w:hAnsi="Arial"/>
          <w:sz w:val="24"/>
          <w:szCs w:val="24"/>
          <w:lang w:val="es-ES_tradnl" w:eastAsia="es-ES"/>
        </w:rPr>
      </w:pPr>
      <w:r w:rsidRPr="0076165F">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6165F">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310337B9" w14:textId="77777777" w:rsidR="00CD24BC" w:rsidRPr="0076165F" w:rsidRDefault="00CD24BC" w:rsidP="00CD24BC">
      <w:pPr>
        <w:spacing w:after="0" w:line="240" w:lineRule="auto"/>
        <w:ind w:firstLine="708"/>
        <w:jc w:val="both"/>
        <w:rPr>
          <w:rFonts w:ascii="Arial" w:eastAsia="Times New Roman" w:hAnsi="Arial"/>
          <w:sz w:val="24"/>
          <w:szCs w:val="24"/>
          <w:lang w:val="es-ES_tradnl" w:eastAsia="es-ES"/>
        </w:rPr>
      </w:pPr>
    </w:p>
    <w:p w14:paraId="637D70BF"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E5B4699" w14:textId="77777777" w:rsidR="00CD24BC" w:rsidRPr="0076165F" w:rsidRDefault="00CD24BC" w:rsidP="00CD24BC">
      <w:pPr>
        <w:spacing w:after="0" w:line="240" w:lineRule="auto"/>
        <w:jc w:val="both"/>
        <w:rPr>
          <w:rFonts w:ascii="Arial" w:eastAsia="Times New Roman" w:hAnsi="Arial"/>
          <w:sz w:val="24"/>
          <w:szCs w:val="24"/>
          <w:lang w:val="es-ES" w:eastAsia="es-ES"/>
        </w:rPr>
      </w:pPr>
    </w:p>
    <w:p w14:paraId="6EB0350B"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w:t>
      </w:r>
      <w:r w:rsidRPr="0076165F">
        <w:rPr>
          <w:rFonts w:ascii="Arial" w:eastAsia="Times New Roman" w:hAnsi="Arial"/>
          <w:sz w:val="24"/>
          <w:szCs w:val="24"/>
          <w:lang w:val="es-ES_tradnl" w:eastAsia="es-ES"/>
        </w:rPr>
        <w:lastRenderedPageBreak/>
        <w:t>electrónico o magnético a través del cual se le haga llegar dicha información, siendo éstos de 1 peso por cada copia simple, 3 pesos por cada copia certificada y 10 pesos por disco compacto.</w:t>
      </w:r>
      <w:r w:rsidRPr="0076165F">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6165F">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14:paraId="78EFE28D" w14:textId="77777777" w:rsidR="00CD24BC" w:rsidRPr="0076165F" w:rsidRDefault="00CD24BC" w:rsidP="00CD24BC">
      <w:pPr>
        <w:spacing w:after="0" w:line="240" w:lineRule="auto"/>
        <w:jc w:val="both"/>
        <w:rPr>
          <w:rFonts w:ascii="Arial" w:eastAsia="Times New Roman" w:hAnsi="Arial"/>
          <w:sz w:val="24"/>
          <w:szCs w:val="24"/>
          <w:lang w:val="es-ES" w:eastAsia="es-ES"/>
        </w:rPr>
      </w:pPr>
    </w:p>
    <w:p w14:paraId="25D3294B" w14:textId="77777777" w:rsidR="00CD24BC" w:rsidRPr="0076165F" w:rsidRDefault="00CD24BC" w:rsidP="00CD24BC">
      <w:pPr>
        <w:spacing w:after="0" w:line="360" w:lineRule="auto"/>
        <w:jc w:val="both"/>
        <w:rPr>
          <w:rFonts w:ascii="Arial" w:hAnsi="Arial"/>
          <w:sz w:val="24"/>
          <w:szCs w:val="24"/>
          <w:lang w:val="es-AR" w:eastAsia="es-ES"/>
        </w:rPr>
      </w:pPr>
      <w:r w:rsidRPr="0076165F">
        <w:rPr>
          <w:rFonts w:ascii="Arial" w:eastAsia="Times New Roman" w:hAnsi="Arial"/>
          <w:b/>
          <w:sz w:val="24"/>
          <w:szCs w:val="24"/>
          <w:lang w:val="es-ES" w:eastAsia="es-ES"/>
        </w:rPr>
        <w:t xml:space="preserve">DÉCIMO PRIMERA. </w:t>
      </w:r>
      <w:r w:rsidRPr="0076165F">
        <w:rPr>
          <w:rFonts w:ascii="Arial" w:eastAsia="Times New Roman" w:hAnsi="Arial"/>
          <w:sz w:val="24"/>
          <w:szCs w:val="24"/>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6165F">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0E3F5A4" w14:textId="77777777" w:rsidR="00CD24BC" w:rsidRPr="0076165F" w:rsidRDefault="00CD24BC" w:rsidP="00CD24BC">
      <w:pPr>
        <w:spacing w:after="0" w:line="240" w:lineRule="auto"/>
        <w:jc w:val="both"/>
        <w:rPr>
          <w:rFonts w:ascii="Arial" w:hAnsi="Arial"/>
          <w:sz w:val="24"/>
          <w:szCs w:val="24"/>
          <w:lang w:val="es-AR" w:eastAsia="es-ES"/>
        </w:rPr>
      </w:pPr>
    </w:p>
    <w:p w14:paraId="345374C9" w14:textId="77777777" w:rsidR="00CD24BC" w:rsidRPr="0076165F" w:rsidRDefault="00CD24BC" w:rsidP="00CD24BC">
      <w:pPr>
        <w:spacing w:after="0" w:line="360" w:lineRule="auto"/>
        <w:ind w:firstLine="708"/>
        <w:jc w:val="both"/>
        <w:rPr>
          <w:rFonts w:ascii="Arial" w:eastAsia="Arial" w:hAnsi="Arial"/>
          <w:sz w:val="24"/>
          <w:szCs w:val="24"/>
          <w:lang w:val="es-ES" w:eastAsia="es-ES"/>
        </w:rPr>
      </w:pPr>
      <w:r w:rsidRPr="0076165F">
        <w:rPr>
          <w:rFonts w:ascii="Arial" w:hAnsi="Arial"/>
          <w:sz w:val="24"/>
          <w:szCs w:val="24"/>
          <w:lang w:val="es-AR" w:eastAsia="es-ES"/>
        </w:rPr>
        <w:t xml:space="preserve">Sobre este tema en particular, hemos de manifestar, que tales adiciones que pretenden </w:t>
      </w:r>
      <w:r w:rsidRPr="0076165F">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6165F">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0B4258E" w14:textId="77777777" w:rsidR="00CD24BC" w:rsidRPr="0076165F" w:rsidRDefault="00CD24BC" w:rsidP="00CD24BC">
      <w:pPr>
        <w:spacing w:after="0" w:line="240" w:lineRule="auto"/>
        <w:jc w:val="both"/>
        <w:rPr>
          <w:rFonts w:ascii="Arial" w:eastAsia="Arial" w:hAnsi="Arial"/>
          <w:sz w:val="24"/>
          <w:szCs w:val="24"/>
          <w:lang w:val="es-ES" w:eastAsia="es-ES"/>
        </w:rPr>
      </w:pPr>
    </w:p>
    <w:p w14:paraId="1A116698" w14:textId="77777777" w:rsidR="00CD24BC" w:rsidRPr="0076165F" w:rsidRDefault="00CD24BC" w:rsidP="00CD24BC">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w:t>
      </w:r>
      <w:r w:rsidRPr="0076165F">
        <w:rPr>
          <w:rFonts w:ascii="Arial" w:eastAsia="Arial" w:hAnsi="Arial"/>
          <w:sz w:val="24"/>
          <w:szCs w:val="24"/>
          <w:lang w:val="es-ES" w:eastAsia="es-ES"/>
        </w:rPr>
        <w:lastRenderedPageBreak/>
        <w:t>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8999CEE" w14:textId="77777777" w:rsidR="00CD24BC" w:rsidRPr="0076165F" w:rsidRDefault="00CD24BC" w:rsidP="00CD24BC">
      <w:pPr>
        <w:spacing w:after="0" w:line="360" w:lineRule="auto"/>
        <w:jc w:val="both"/>
        <w:rPr>
          <w:rFonts w:ascii="Arial" w:eastAsia="Arial" w:hAnsi="Arial"/>
          <w:sz w:val="24"/>
          <w:szCs w:val="24"/>
          <w:lang w:val="es-ES" w:eastAsia="es-ES"/>
        </w:rPr>
      </w:pPr>
    </w:p>
    <w:p w14:paraId="28260EEC" w14:textId="77777777" w:rsidR="00CD24BC" w:rsidRPr="0076165F" w:rsidRDefault="00CD24BC" w:rsidP="00CD24B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7173542" w14:textId="77777777" w:rsidR="00CD24BC" w:rsidRPr="0076165F" w:rsidRDefault="00CD24BC" w:rsidP="00CD24BC">
      <w:pPr>
        <w:spacing w:after="0" w:line="240" w:lineRule="auto"/>
        <w:jc w:val="both"/>
        <w:rPr>
          <w:rFonts w:ascii="Arial" w:eastAsia="Arial" w:hAnsi="Arial"/>
          <w:sz w:val="24"/>
          <w:szCs w:val="24"/>
          <w:lang w:val="es-ES" w:eastAsia="es-ES"/>
        </w:rPr>
      </w:pPr>
    </w:p>
    <w:p w14:paraId="30630C0B" w14:textId="77777777" w:rsidR="00CD24BC" w:rsidRPr="0076165F" w:rsidRDefault="00CD24BC" w:rsidP="00CD24B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6165F">
        <w:rPr>
          <w:rFonts w:ascii="Arial" w:eastAsia="Arial" w:hAnsi="Arial"/>
          <w:spacing w:val="-1"/>
          <w:sz w:val="24"/>
          <w:szCs w:val="24"/>
          <w:lang w:val="es-ES" w:eastAsia="es-ES"/>
        </w:rPr>
        <w:t xml:space="preserve">derechos por publicidad, propaganda </w:t>
      </w:r>
      <w:r w:rsidRPr="0076165F">
        <w:rPr>
          <w:rFonts w:ascii="Arial" w:eastAsia="Arial" w:hAnsi="Arial"/>
          <w:sz w:val="24"/>
          <w:szCs w:val="24"/>
          <w:lang w:val="es-ES" w:eastAsia="es-ES"/>
        </w:rPr>
        <w:t>o anuncios.</w:t>
      </w:r>
    </w:p>
    <w:p w14:paraId="62D1C2BB" w14:textId="77777777" w:rsidR="00CD24BC" w:rsidRPr="0076165F" w:rsidRDefault="00CD24BC" w:rsidP="00CD24BC">
      <w:pPr>
        <w:spacing w:after="0" w:line="360" w:lineRule="auto"/>
        <w:jc w:val="both"/>
        <w:rPr>
          <w:rFonts w:ascii="Arial" w:eastAsia="Arial" w:hAnsi="Arial"/>
          <w:sz w:val="24"/>
          <w:szCs w:val="24"/>
          <w:lang w:val="es-ES" w:eastAsia="es-ES"/>
        </w:rPr>
      </w:pPr>
    </w:p>
    <w:p w14:paraId="24287DBD" w14:textId="77777777" w:rsidR="00CD24BC" w:rsidRPr="0076165F" w:rsidRDefault="00CD24BC" w:rsidP="00CD24B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t xml:space="preserve">Lo anterior, se robustece con los razonamientos que conforman el contenido </w:t>
      </w:r>
      <w:r w:rsidRPr="0076165F">
        <w:rPr>
          <w:rFonts w:ascii="Arial" w:eastAsia="Arial" w:hAnsi="Arial"/>
          <w:i/>
          <w:iCs/>
          <w:sz w:val="24"/>
          <w:szCs w:val="24"/>
          <w:lang w:val="es-ES" w:eastAsia="es-ES"/>
        </w:rPr>
        <w:t xml:space="preserve">contrario sensu </w:t>
      </w:r>
      <w:r w:rsidRPr="0076165F">
        <w:rPr>
          <w:rFonts w:ascii="Arial" w:eastAsia="Arial" w:hAnsi="Arial"/>
          <w:sz w:val="24"/>
          <w:szCs w:val="24"/>
          <w:lang w:val="es-ES" w:eastAsia="es-ES"/>
        </w:rPr>
        <w:t>de las tesis jurisprudenciales denominadas: “</w:t>
      </w:r>
      <w:r w:rsidRPr="0076165F">
        <w:rPr>
          <w:rFonts w:ascii="Arial" w:eastAsia="Times New Roman" w:hAnsi="Arial"/>
          <w:bCs/>
          <w:sz w:val="24"/>
          <w:szCs w:val="24"/>
          <w:shd w:val="clear" w:color="auto" w:fill="FFFFFF"/>
          <w:lang w:val="es-ES" w:eastAsia="es-ES"/>
        </w:rPr>
        <w:t xml:space="preserve">DERECHOS POR LA EXPEDICIÓN DE LICENCIA O PERMISO DE EDIFICACIÓN O AMPLIACIÓN. EL </w:t>
      </w:r>
      <w:r w:rsidRPr="0076165F">
        <w:rPr>
          <w:rFonts w:ascii="Arial" w:eastAsia="Times New Roman" w:hAnsi="Arial"/>
          <w:bCs/>
          <w:sz w:val="24"/>
          <w:szCs w:val="24"/>
          <w:shd w:val="clear" w:color="auto" w:fill="FFFFFF"/>
          <w:lang w:val="es-ES" w:eastAsia="es-ES"/>
        </w:rPr>
        <w:lastRenderedPageBreak/>
        <w:t>ARTÍCULO </w:t>
      </w:r>
      <w:hyperlink r:id="rId15" w:history="1">
        <w:r w:rsidRPr="0076165F">
          <w:rPr>
            <w:rFonts w:ascii="Arial" w:eastAsia="Times New Roman" w:hAnsi="Arial"/>
            <w:bCs/>
            <w:sz w:val="24"/>
            <w:szCs w:val="24"/>
            <w:shd w:val="clear" w:color="auto" w:fill="FFFFFF"/>
            <w:lang w:val="es-ES" w:eastAsia="es-ES"/>
          </w:rPr>
          <w:t>57, FRACCIÓN I, INCISO A), DE LA LEY DE INGRESOS DEL MUNICIPIO DE ZAPOPAN, JALISCO, PARA EL EJERCICIO FISCAL DEL AÑO 2012</w:t>
        </w:r>
      </w:hyperlink>
      <w:r w:rsidRPr="0076165F">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6165F">
        <w:rPr>
          <w:rFonts w:ascii="Arial" w:eastAsia="Times New Roman" w:hAnsi="Arial"/>
          <w:bCs/>
          <w:sz w:val="24"/>
          <w:szCs w:val="24"/>
          <w:shd w:val="clear" w:color="auto" w:fill="FFFFFF"/>
          <w:vertAlign w:val="superscript"/>
          <w:lang w:val="es-ES" w:eastAsia="es-ES"/>
        </w:rPr>
        <w:footnoteReference w:id="10"/>
      </w:r>
      <w:r w:rsidRPr="0076165F">
        <w:rPr>
          <w:rFonts w:ascii="Arial" w:eastAsia="Times New Roman" w:hAnsi="Arial"/>
          <w:bCs/>
          <w:sz w:val="24"/>
          <w:szCs w:val="24"/>
          <w:shd w:val="clear" w:color="auto" w:fill="FFFFFF"/>
          <w:lang w:val="es-ES" w:eastAsia="es-ES"/>
        </w:rPr>
        <w:t>; DERECHOS POR SERVICIOS. EL ARTÍCULO </w:t>
      </w:r>
      <w:hyperlink r:id="rId16" w:history="1">
        <w:r w:rsidRPr="0076165F">
          <w:rPr>
            <w:rFonts w:ascii="Arial" w:eastAsia="Times New Roman" w:hAnsi="Arial"/>
            <w:bCs/>
            <w:sz w:val="24"/>
            <w:szCs w:val="24"/>
            <w:shd w:val="clear" w:color="auto" w:fill="FFFFFF"/>
            <w:lang w:val="es-ES" w:eastAsia="es-ES"/>
          </w:rPr>
          <w:t>19-E, FRACCIÓN II, INCISO B)</w:t>
        </w:r>
      </w:hyperlink>
      <w:r w:rsidRPr="0076165F">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6165F">
        <w:rPr>
          <w:rFonts w:ascii="Arial" w:eastAsia="Times New Roman" w:hAnsi="Arial"/>
          <w:bCs/>
          <w:sz w:val="24"/>
          <w:szCs w:val="24"/>
          <w:shd w:val="clear" w:color="auto" w:fill="FFFFFF"/>
          <w:vertAlign w:val="superscript"/>
          <w:lang w:val="es-ES" w:eastAsia="es-ES"/>
        </w:rPr>
        <w:footnoteReference w:id="11"/>
      </w:r>
      <w:r w:rsidRPr="0076165F">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6165F">
        <w:rPr>
          <w:rFonts w:ascii="Arial" w:eastAsia="Times New Roman" w:hAnsi="Arial"/>
          <w:bCs/>
          <w:sz w:val="24"/>
          <w:szCs w:val="24"/>
          <w:shd w:val="clear" w:color="auto" w:fill="FFFFFF"/>
          <w:vertAlign w:val="superscript"/>
          <w:lang w:val="es-ES" w:eastAsia="es-ES"/>
        </w:rPr>
        <w:footnoteReference w:id="12"/>
      </w:r>
      <w:r w:rsidRPr="0076165F">
        <w:rPr>
          <w:rFonts w:ascii="Arial" w:eastAsia="Times New Roman" w:hAnsi="Arial"/>
          <w:bCs/>
          <w:sz w:val="24"/>
          <w:szCs w:val="24"/>
          <w:shd w:val="clear" w:color="auto" w:fill="FFFFFF"/>
          <w:lang w:val="es-ES" w:eastAsia="es-ES"/>
        </w:rPr>
        <w:t>.</w:t>
      </w:r>
      <w:r w:rsidRPr="0076165F">
        <w:rPr>
          <w:rFonts w:ascii="Arial" w:eastAsia="Arial" w:hAnsi="Arial"/>
          <w:sz w:val="24"/>
          <w:szCs w:val="24"/>
          <w:lang w:val="es-ES" w:eastAsia="es-ES"/>
        </w:rPr>
        <w:t xml:space="preserve"> </w:t>
      </w:r>
    </w:p>
    <w:p w14:paraId="406C9487" w14:textId="77777777" w:rsidR="00CD24BC" w:rsidRPr="0076165F" w:rsidRDefault="00CD24BC" w:rsidP="00CD24BC">
      <w:pPr>
        <w:spacing w:after="0" w:line="240" w:lineRule="auto"/>
        <w:jc w:val="both"/>
        <w:rPr>
          <w:rFonts w:ascii="Arial" w:eastAsia="Arial" w:hAnsi="Arial"/>
          <w:sz w:val="24"/>
          <w:szCs w:val="24"/>
          <w:lang w:val="es-ES" w:eastAsia="es-ES"/>
        </w:rPr>
      </w:pPr>
    </w:p>
    <w:p w14:paraId="208AC2DB" w14:textId="77777777" w:rsidR="00CD24BC" w:rsidRPr="0076165F" w:rsidRDefault="00CD24BC" w:rsidP="00CD24BC">
      <w:pPr>
        <w:spacing w:after="0" w:line="360" w:lineRule="auto"/>
        <w:jc w:val="both"/>
        <w:rPr>
          <w:rFonts w:ascii="Arial" w:eastAsia="Times New Roman" w:hAnsi="Arial"/>
          <w:sz w:val="24"/>
          <w:szCs w:val="24"/>
          <w:shd w:val="clear" w:color="auto" w:fill="FFFFFF"/>
          <w:lang w:val="es-ES" w:eastAsia="es-ES"/>
        </w:rPr>
      </w:pPr>
      <w:r w:rsidRPr="0076165F">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6165F">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6620DCD" w14:textId="77777777" w:rsidR="00CD24BC" w:rsidRPr="0076165F" w:rsidRDefault="00CD24BC" w:rsidP="00CD24BC">
      <w:pPr>
        <w:spacing w:after="0" w:line="240" w:lineRule="auto"/>
        <w:jc w:val="both"/>
        <w:rPr>
          <w:rFonts w:ascii="Arial" w:eastAsia="Times New Roman" w:hAnsi="Arial"/>
          <w:sz w:val="24"/>
          <w:szCs w:val="24"/>
          <w:shd w:val="clear" w:color="auto" w:fill="FFFFFF"/>
          <w:lang w:val="es-ES" w:eastAsia="es-ES"/>
        </w:rPr>
      </w:pPr>
    </w:p>
    <w:p w14:paraId="7AB81476" w14:textId="77777777" w:rsidR="00CD24BC" w:rsidRPr="0076165F" w:rsidRDefault="00CD24BC" w:rsidP="00CD24BC">
      <w:pPr>
        <w:spacing w:after="0" w:line="360" w:lineRule="auto"/>
        <w:jc w:val="both"/>
        <w:rPr>
          <w:rFonts w:ascii="Arial" w:eastAsia="Arial" w:hAnsi="Arial"/>
          <w:sz w:val="24"/>
          <w:szCs w:val="24"/>
          <w:lang w:val="es-ES" w:eastAsia="es-ES"/>
        </w:rPr>
      </w:pPr>
      <w:r w:rsidRPr="0076165F">
        <w:rPr>
          <w:rFonts w:ascii="Arial" w:eastAsia="Times New Roman" w:hAnsi="Arial"/>
          <w:sz w:val="24"/>
          <w:szCs w:val="24"/>
          <w:shd w:val="clear" w:color="auto" w:fill="FFFFFF"/>
          <w:lang w:val="es-ES" w:eastAsia="es-ES"/>
        </w:rPr>
        <w:lastRenderedPageBreak/>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6165F">
        <w:rPr>
          <w:rFonts w:ascii="Arial" w:eastAsia="Times New Roman" w:hAnsi="Arial"/>
          <w:sz w:val="24"/>
          <w:szCs w:val="24"/>
          <w:lang w:eastAsia="es-ES"/>
        </w:rPr>
        <w:t xml:space="preserve">Agencia de Transporte de Yucatán, cuyo objeto es planear, regular, administrar, controlar, construir y encargarse, en general, de la organización del servicio de transporte en el estado de Yucatán; por lo tanto, </w:t>
      </w:r>
      <w:r w:rsidRPr="0076165F">
        <w:rPr>
          <w:rFonts w:ascii="Arial" w:eastAsia="Times New Roman" w:hAnsi="Arial"/>
          <w:sz w:val="24"/>
          <w:szCs w:val="24"/>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6165F">
        <w:rPr>
          <w:rFonts w:ascii="Arial" w:eastAsia="Arial" w:hAnsi="Arial"/>
          <w:sz w:val="24"/>
          <w:szCs w:val="24"/>
          <w:lang w:val="es-ES" w:eastAsia="es-ES"/>
        </w:rPr>
        <w:t>gencia con respecto al transporte público en el Estado.</w:t>
      </w:r>
    </w:p>
    <w:p w14:paraId="02F5EC68" w14:textId="77777777" w:rsidR="00CD24BC" w:rsidRPr="0076165F" w:rsidRDefault="00CD24BC" w:rsidP="00CD24BC">
      <w:pPr>
        <w:spacing w:after="0" w:line="240" w:lineRule="auto"/>
        <w:jc w:val="both"/>
        <w:rPr>
          <w:rFonts w:ascii="Arial" w:eastAsia="Arial" w:hAnsi="Arial"/>
          <w:sz w:val="24"/>
          <w:szCs w:val="24"/>
          <w:lang w:val="es-ES" w:eastAsia="es-ES"/>
        </w:rPr>
      </w:pPr>
    </w:p>
    <w:p w14:paraId="2F7AF6DF" w14:textId="77777777" w:rsidR="00CD24BC" w:rsidRPr="0076165F" w:rsidRDefault="00CD24BC" w:rsidP="00CD24BC">
      <w:pPr>
        <w:spacing w:after="0" w:line="360" w:lineRule="auto"/>
        <w:jc w:val="both"/>
        <w:rPr>
          <w:rFonts w:ascii="Arial" w:eastAsia="Arial" w:hAnsi="Arial"/>
          <w:sz w:val="24"/>
          <w:szCs w:val="24"/>
          <w:lang w:val="es-ES" w:eastAsia="es-ES"/>
        </w:rPr>
      </w:pPr>
      <w:r w:rsidRPr="0076165F">
        <w:rPr>
          <w:rFonts w:ascii="Arial" w:eastAsia="Arial" w:hAnsi="Arial"/>
          <w:sz w:val="24"/>
          <w:szCs w:val="24"/>
          <w:lang w:val="es-ES" w:eastAsia="es-ES"/>
        </w:rPr>
        <w:tab/>
      </w:r>
      <w:bookmarkStart w:id="4" w:name="_Hlk184230193"/>
      <w:r w:rsidRPr="0076165F">
        <w:rPr>
          <w:rFonts w:ascii="Arial" w:eastAsia="Arial" w:hAnsi="Arial"/>
          <w:sz w:val="24"/>
          <w:szCs w:val="24"/>
          <w:lang w:val="es-ES" w:eastAsia="es-ES"/>
        </w:rPr>
        <w:t>Igualmente conviene señalar que algunos proyectos de ingresos fueron modificados al eliminar sus tasas, cuotas y tarifas, toda vez que estos cobros se encuentran previstos en sus leyes de hacienda respectivas vigentes, por lo que dejarles dichos montos estaríamos generando una duplicidad de cobros por los mismos conceptos, lo que en definitiva dejaría al ciudadano en estado de indefensión al no contener los principios de certeza y legalidad jurídica.</w:t>
      </w:r>
    </w:p>
    <w:p w14:paraId="1B5D9F7C" w14:textId="77777777" w:rsidR="00CD24BC" w:rsidRPr="0076165F" w:rsidRDefault="00CD24BC" w:rsidP="00CD24BC">
      <w:pPr>
        <w:spacing w:after="0" w:line="240" w:lineRule="auto"/>
        <w:jc w:val="both"/>
        <w:rPr>
          <w:rFonts w:ascii="Arial" w:eastAsia="Arial" w:hAnsi="Arial"/>
          <w:sz w:val="24"/>
          <w:szCs w:val="24"/>
          <w:lang w:val="es-ES" w:eastAsia="es-ES"/>
        </w:rPr>
      </w:pPr>
    </w:p>
    <w:p w14:paraId="71BC13B0" w14:textId="77777777" w:rsidR="00CD24BC" w:rsidRPr="0076165F" w:rsidRDefault="00CD24BC" w:rsidP="00CD24BC">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 xml:space="preserve">Sobre esta tesitura cabe señalar que tanto la Ley de Hacienda Municipal del Estado de Yucatán, así como las leyes de Hacienda de cada Municipio de Yucatán, regulan aspectos fundamentales sobre la política tributaria del municipio, como la creación, modificación, extinción de impuestos, derechos, contribuciones y productos. Por su parte, las Leyes de Ingresos Municipales, como se ha señalado con anterioridad, son normas de vigencia anual que detallan las fuentes de ingresos del municipio para un ejercicio fiscal específico, incluyendo impuestos, derechos, </w:t>
      </w:r>
      <w:r w:rsidRPr="0076165F">
        <w:rPr>
          <w:rFonts w:ascii="Arial" w:eastAsia="Arial" w:hAnsi="Arial"/>
          <w:sz w:val="24"/>
          <w:szCs w:val="24"/>
          <w:lang w:val="es-ES" w:eastAsia="es-ES"/>
        </w:rPr>
        <w:lastRenderedPageBreak/>
        <w:t>productos y aprovechamientos con el propósito de estimar y autorizar los ingresos esperados.</w:t>
      </w:r>
    </w:p>
    <w:p w14:paraId="574C3741" w14:textId="77777777" w:rsidR="00CD24BC" w:rsidRPr="0076165F" w:rsidRDefault="00CD24BC" w:rsidP="00CD24BC">
      <w:pPr>
        <w:spacing w:after="0" w:line="240" w:lineRule="auto"/>
        <w:jc w:val="both"/>
        <w:rPr>
          <w:rFonts w:ascii="Arial" w:eastAsia="Arial" w:hAnsi="Arial"/>
          <w:sz w:val="24"/>
          <w:szCs w:val="24"/>
          <w:lang w:val="es-ES" w:eastAsia="es-ES"/>
        </w:rPr>
      </w:pPr>
    </w:p>
    <w:p w14:paraId="21F09D3E" w14:textId="77777777" w:rsidR="00CD24BC" w:rsidRPr="0076165F" w:rsidRDefault="00CD24BC" w:rsidP="00CD24BC">
      <w:pPr>
        <w:spacing w:after="0" w:line="360" w:lineRule="auto"/>
        <w:ind w:firstLine="708"/>
        <w:jc w:val="both"/>
        <w:rPr>
          <w:rFonts w:ascii="Arial" w:eastAsia="Arial" w:hAnsi="Arial"/>
          <w:sz w:val="24"/>
          <w:szCs w:val="24"/>
          <w:lang w:val="es-ES" w:eastAsia="es-ES"/>
        </w:rPr>
      </w:pPr>
      <w:r w:rsidRPr="0076165F">
        <w:rPr>
          <w:rFonts w:ascii="Arial" w:eastAsia="Arial" w:hAnsi="Arial"/>
          <w:sz w:val="24"/>
          <w:szCs w:val="24"/>
          <w:lang w:val="es-ES" w:eastAsia="es-ES"/>
        </w:rPr>
        <w:t>Sin embargo, aunque ambas leyes son aprobadas por el Congreso del Estado, la Ley de Hacienda es de carácter general y permanente, mientras que la Ley de Ingresos tiene un carácter específico y temporal. Atendiendo a la armonización contable se debe garantizar que la Ley de Ingresos se elabore conforme a las disposiciones de la Ley de Hacienda. Si se actualizan tasas o tarifas, estas deben incluirse explícitamente como una reforma a la Ley de Hacienda, sin embargo el máximo tribunal de la Nación ha resuelto que ambas normativas pueden ser instrumentos fiscales complementarios, permitiendo actualizar tasas o tarifas en la Ley de Ingresos no presentes en la Ley de Hacienda, pero no así, la coexistencia de tasas y tarifas en ambas leyes ya que la doble regulación genera incertidumbre para los contribuyentes y administradores tributarios, contraviniendo directamente al principio legalidad necesario para garantizar el derecho de seguridad jurídica en materia tributaria, consagrado en el artículo 31, fracción IV de la Constitución Política de los Estados Unidos Mexicanos.</w:t>
      </w:r>
    </w:p>
    <w:bookmarkEnd w:id="4"/>
    <w:p w14:paraId="26CD2B31" w14:textId="77777777" w:rsidR="00CD24BC" w:rsidRPr="0076165F" w:rsidRDefault="00CD24BC" w:rsidP="00CD24BC">
      <w:pPr>
        <w:spacing w:after="0" w:line="240" w:lineRule="auto"/>
        <w:jc w:val="both"/>
        <w:rPr>
          <w:rFonts w:ascii="Arial" w:eastAsia="Times New Roman" w:hAnsi="Arial"/>
          <w:sz w:val="24"/>
          <w:szCs w:val="24"/>
          <w:lang w:val="es-ES" w:eastAsia="es-ES"/>
        </w:rPr>
      </w:pPr>
    </w:p>
    <w:p w14:paraId="27FEBE36" w14:textId="77777777" w:rsidR="00CD24BC" w:rsidRPr="0076165F" w:rsidRDefault="00CD24BC" w:rsidP="00CD24BC">
      <w:pPr>
        <w:spacing w:after="0" w:line="360" w:lineRule="auto"/>
        <w:ind w:firstLine="708"/>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Finalmente esta comisión permanente,</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en su conjunto</w:t>
      </w:r>
      <w:r w:rsidRPr="0076165F">
        <w:rPr>
          <w:rFonts w:ascii="Arial" w:eastAsia="Times New Roman" w:hAnsi="Arial"/>
          <w:b/>
          <w:sz w:val="24"/>
          <w:szCs w:val="24"/>
          <w:lang w:val="es-ES" w:eastAsia="es-ES"/>
        </w:rPr>
        <w:t xml:space="preserve"> </w:t>
      </w:r>
      <w:r w:rsidRPr="0076165F">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2D3D510" w14:textId="77777777" w:rsidR="00CD24BC" w:rsidRPr="0076165F" w:rsidRDefault="00CD24BC" w:rsidP="00CD24BC">
      <w:pPr>
        <w:spacing w:after="0" w:line="240" w:lineRule="auto"/>
        <w:ind w:firstLine="708"/>
        <w:jc w:val="both"/>
        <w:rPr>
          <w:rFonts w:ascii="Arial" w:eastAsia="Times New Roman" w:hAnsi="Arial"/>
          <w:sz w:val="24"/>
          <w:szCs w:val="24"/>
          <w:lang w:val="es-ES" w:eastAsia="es-ES"/>
        </w:rPr>
      </w:pPr>
    </w:p>
    <w:p w14:paraId="43A1B089" w14:textId="77777777" w:rsidR="00CD24BC" w:rsidRPr="0076165F" w:rsidRDefault="00CD24BC" w:rsidP="00CD24BC">
      <w:pPr>
        <w:spacing w:after="0" w:line="360" w:lineRule="auto"/>
        <w:ind w:firstLine="708"/>
        <w:jc w:val="both"/>
        <w:rPr>
          <w:rFonts w:ascii="Arial" w:eastAsia="Times New Roman" w:hAnsi="Arial"/>
          <w:iCs/>
          <w:sz w:val="24"/>
          <w:szCs w:val="24"/>
          <w:lang w:val="es-ES" w:eastAsia="es-ES"/>
        </w:rPr>
      </w:pPr>
      <w:r w:rsidRPr="0076165F">
        <w:rPr>
          <w:rFonts w:ascii="Arial" w:eastAsia="Times New Roman" w:hAnsi="Arial"/>
          <w:iCs/>
          <w:sz w:val="24"/>
          <w:szCs w:val="24"/>
          <w:lang w:val="es-ES" w:eastAsia="es-ES"/>
        </w:rPr>
        <w:lastRenderedPageBreak/>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CFE5D00" w14:textId="77777777" w:rsidR="00CD24BC" w:rsidRPr="0076165F" w:rsidRDefault="00CD24BC" w:rsidP="00CD24BC">
      <w:pPr>
        <w:spacing w:after="0" w:line="240" w:lineRule="auto"/>
        <w:ind w:firstLine="708"/>
        <w:jc w:val="both"/>
        <w:rPr>
          <w:rFonts w:ascii="Arial" w:eastAsia="Times New Roman" w:hAnsi="Arial"/>
          <w:iCs/>
          <w:sz w:val="24"/>
          <w:szCs w:val="24"/>
          <w:lang w:val="es-ES" w:eastAsia="es-ES"/>
        </w:rPr>
      </w:pPr>
    </w:p>
    <w:p w14:paraId="35428BB0" w14:textId="77777777" w:rsidR="00CD24BC" w:rsidRPr="0076165F" w:rsidRDefault="00CD24BC" w:rsidP="00CD24BC">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2025 de los Municipios de: 1. Abalá; 2. Acanceh; 3. </w:t>
      </w:r>
      <w:proofErr w:type="spellStart"/>
      <w:r w:rsidRPr="0076165F">
        <w:rPr>
          <w:rFonts w:ascii="Arial" w:eastAsia="Times New Roman" w:hAnsi="Arial"/>
          <w:sz w:val="24"/>
          <w:szCs w:val="24"/>
          <w:lang w:val="es-ES" w:eastAsia="es-ES"/>
        </w:rPr>
        <w:t>Akil</w:t>
      </w:r>
      <w:proofErr w:type="spellEnd"/>
      <w:r w:rsidRPr="0076165F">
        <w:rPr>
          <w:rFonts w:ascii="Arial" w:eastAsia="Times New Roman" w:hAnsi="Arial"/>
          <w:sz w:val="24"/>
          <w:szCs w:val="24"/>
          <w:lang w:val="es-ES" w:eastAsia="es-ES"/>
        </w:rPr>
        <w:t xml:space="preserve">; 4. Bokobá; 5. </w:t>
      </w:r>
      <w:proofErr w:type="spellStart"/>
      <w:r w:rsidRPr="0076165F">
        <w:rPr>
          <w:rFonts w:ascii="Arial" w:eastAsia="Times New Roman" w:hAnsi="Arial"/>
          <w:sz w:val="24"/>
          <w:szCs w:val="24"/>
          <w:lang w:val="es-ES" w:eastAsia="es-ES"/>
        </w:rPr>
        <w:t>Buctzotz</w:t>
      </w:r>
      <w:proofErr w:type="spellEnd"/>
      <w:r w:rsidRPr="0076165F">
        <w:rPr>
          <w:rFonts w:ascii="Arial" w:eastAsia="Times New Roman" w:hAnsi="Arial"/>
          <w:sz w:val="24"/>
          <w:szCs w:val="24"/>
          <w:lang w:val="es-ES" w:eastAsia="es-ES"/>
        </w:rPr>
        <w:t xml:space="preserve">; 6. </w:t>
      </w:r>
      <w:proofErr w:type="spellStart"/>
      <w:r w:rsidRPr="0076165F">
        <w:rPr>
          <w:rFonts w:ascii="Arial" w:eastAsia="Times New Roman" w:hAnsi="Arial"/>
          <w:sz w:val="24"/>
          <w:szCs w:val="24"/>
          <w:lang w:val="es-ES" w:eastAsia="es-ES"/>
        </w:rPr>
        <w:t>Cacalchén</w:t>
      </w:r>
      <w:proofErr w:type="spellEnd"/>
      <w:r w:rsidRPr="0076165F">
        <w:rPr>
          <w:rFonts w:ascii="Arial" w:eastAsia="Times New Roman" w:hAnsi="Arial"/>
          <w:sz w:val="24"/>
          <w:szCs w:val="24"/>
          <w:lang w:val="es-ES" w:eastAsia="es-ES"/>
        </w:rPr>
        <w:t xml:space="preserve">; 7. </w:t>
      </w:r>
      <w:proofErr w:type="spellStart"/>
      <w:r w:rsidRPr="0076165F">
        <w:rPr>
          <w:rFonts w:ascii="Arial" w:eastAsia="Times New Roman" w:hAnsi="Arial"/>
          <w:sz w:val="24"/>
          <w:szCs w:val="24"/>
          <w:lang w:val="es-ES" w:eastAsia="es-ES"/>
        </w:rPr>
        <w:t>Calotmul</w:t>
      </w:r>
      <w:proofErr w:type="spellEnd"/>
      <w:r w:rsidRPr="0076165F">
        <w:rPr>
          <w:rFonts w:ascii="Arial" w:eastAsia="Times New Roman" w:hAnsi="Arial"/>
          <w:sz w:val="24"/>
          <w:szCs w:val="24"/>
          <w:lang w:val="es-ES" w:eastAsia="es-ES"/>
        </w:rPr>
        <w:t xml:space="preserve">; 8. </w:t>
      </w:r>
      <w:proofErr w:type="spellStart"/>
      <w:r w:rsidRPr="0076165F">
        <w:rPr>
          <w:rFonts w:ascii="Arial" w:eastAsia="Times New Roman" w:hAnsi="Arial"/>
          <w:sz w:val="24"/>
          <w:szCs w:val="24"/>
          <w:lang w:val="es-ES" w:eastAsia="es-ES"/>
        </w:rPr>
        <w:t>Cansahcab</w:t>
      </w:r>
      <w:proofErr w:type="spellEnd"/>
      <w:r w:rsidRPr="0076165F">
        <w:rPr>
          <w:rFonts w:ascii="Arial" w:eastAsia="Times New Roman" w:hAnsi="Arial"/>
          <w:sz w:val="24"/>
          <w:szCs w:val="24"/>
          <w:lang w:val="es-ES" w:eastAsia="es-ES"/>
        </w:rPr>
        <w:t xml:space="preserve">; 9. Celestún; 10. Conkal; 11. </w:t>
      </w:r>
      <w:proofErr w:type="spellStart"/>
      <w:r w:rsidRPr="0076165F">
        <w:rPr>
          <w:rFonts w:ascii="Arial" w:eastAsia="Times New Roman" w:hAnsi="Arial"/>
          <w:sz w:val="24"/>
          <w:szCs w:val="24"/>
          <w:lang w:val="es-ES" w:eastAsia="es-ES"/>
        </w:rPr>
        <w:t>Cuncunul</w:t>
      </w:r>
      <w:proofErr w:type="spellEnd"/>
      <w:r w:rsidRPr="0076165F">
        <w:rPr>
          <w:rFonts w:ascii="Arial" w:eastAsia="Times New Roman" w:hAnsi="Arial"/>
          <w:sz w:val="24"/>
          <w:szCs w:val="24"/>
          <w:lang w:val="es-ES" w:eastAsia="es-ES"/>
        </w:rPr>
        <w:t xml:space="preserve">; 12. </w:t>
      </w:r>
      <w:proofErr w:type="spellStart"/>
      <w:r w:rsidRPr="0076165F">
        <w:rPr>
          <w:rFonts w:ascii="Arial" w:eastAsia="Times New Roman" w:hAnsi="Arial"/>
          <w:sz w:val="24"/>
          <w:szCs w:val="24"/>
          <w:lang w:val="es-ES" w:eastAsia="es-ES"/>
        </w:rPr>
        <w:t>Chacsinkín</w:t>
      </w:r>
      <w:proofErr w:type="spellEnd"/>
      <w:r w:rsidRPr="0076165F">
        <w:rPr>
          <w:rFonts w:ascii="Arial" w:eastAsia="Times New Roman" w:hAnsi="Arial"/>
          <w:sz w:val="24"/>
          <w:szCs w:val="24"/>
          <w:lang w:val="es-ES" w:eastAsia="es-ES"/>
        </w:rPr>
        <w:t xml:space="preserve">; 13. </w:t>
      </w:r>
      <w:proofErr w:type="spellStart"/>
      <w:r w:rsidRPr="0076165F">
        <w:rPr>
          <w:rFonts w:ascii="Arial" w:eastAsia="Times New Roman" w:hAnsi="Arial"/>
          <w:sz w:val="24"/>
          <w:szCs w:val="24"/>
          <w:lang w:val="es-ES" w:eastAsia="es-ES"/>
        </w:rPr>
        <w:t>Chankom</w:t>
      </w:r>
      <w:proofErr w:type="spellEnd"/>
      <w:r w:rsidRPr="0076165F">
        <w:rPr>
          <w:rFonts w:ascii="Arial" w:eastAsia="Times New Roman" w:hAnsi="Arial"/>
          <w:sz w:val="24"/>
          <w:szCs w:val="24"/>
          <w:lang w:val="es-ES" w:eastAsia="es-ES"/>
        </w:rPr>
        <w:t xml:space="preserve">; 14. Chemax; 15. </w:t>
      </w:r>
      <w:proofErr w:type="spellStart"/>
      <w:r w:rsidRPr="0076165F">
        <w:rPr>
          <w:rFonts w:ascii="Arial" w:eastAsia="Times New Roman" w:hAnsi="Arial"/>
          <w:sz w:val="24"/>
          <w:szCs w:val="24"/>
          <w:lang w:val="es-ES" w:eastAsia="es-ES"/>
        </w:rPr>
        <w:t>Chichimilá</w:t>
      </w:r>
      <w:proofErr w:type="spellEnd"/>
      <w:r w:rsidRPr="0076165F">
        <w:rPr>
          <w:rFonts w:ascii="Arial" w:eastAsia="Times New Roman" w:hAnsi="Arial"/>
          <w:sz w:val="24"/>
          <w:szCs w:val="24"/>
          <w:lang w:val="es-ES" w:eastAsia="es-ES"/>
        </w:rPr>
        <w:t xml:space="preserve">; 16. Chicxulub Pueblo; 17. </w:t>
      </w:r>
      <w:proofErr w:type="spellStart"/>
      <w:r w:rsidRPr="0076165F">
        <w:rPr>
          <w:rFonts w:ascii="Arial" w:eastAsia="Times New Roman" w:hAnsi="Arial"/>
          <w:sz w:val="24"/>
          <w:szCs w:val="24"/>
          <w:lang w:val="es-ES" w:eastAsia="es-ES"/>
        </w:rPr>
        <w:t>Chikindzonot</w:t>
      </w:r>
      <w:proofErr w:type="spellEnd"/>
      <w:r w:rsidRPr="0076165F">
        <w:rPr>
          <w:rFonts w:ascii="Arial" w:eastAsia="Times New Roman" w:hAnsi="Arial"/>
          <w:sz w:val="24"/>
          <w:szCs w:val="24"/>
          <w:lang w:val="es-ES" w:eastAsia="es-ES"/>
        </w:rPr>
        <w:t xml:space="preserve">; 18. </w:t>
      </w:r>
      <w:proofErr w:type="spellStart"/>
      <w:r w:rsidRPr="0076165F">
        <w:rPr>
          <w:rFonts w:ascii="Arial" w:eastAsia="Times New Roman" w:hAnsi="Arial"/>
          <w:sz w:val="24"/>
          <w:szCs w:val="24"/>
          <w:lang w:val="es-ES" w:eastAsia="es-ES"/>
        </w:rPr>
        <w:t>Chumayel</w:t>
      </w:r>
      <w:proofErr w:type="spellEnd"/>
      <w:r w:rsidRPr="0076165F">
        <w:rPr>
          <w:rFonts w:ascii="Arial" w:eastAsia="Times New Roman" w:hAnsi="Arial"/>
          <w:sz w:val="24"/>
          <w:szCs w:val="24"/>
          <w:lang w:val="es-ES" w:eastAsia="es-ES"/>
        </w:rPr>
        <w:t xml:space="preserve">; 19. </w:t>
      </w:r>
      <w:proofErr w:type="spellStart"/>
      <w:r w:rsidRPr="0076165F">
        <w:rPr>
          <w:rFonts w:ascii="Arial" w:eastAsia="Times New Roman" w:hAnsi="Arial"/>
          <w:sz w:val="24"/>
          <w:szCs w:val="24"/>
          <w:lang w:val="es-ES" w:eastAsia="es-ES"/>
        </w:rPr>
        <w:t>Dzidzantún</w:t>
      </w:r>
      <w:proofErr w:type="spellEnd"/>
      <w:r w:rsidRPr="0076165F">
        <w:rPr>
          <w:rFonts w:ascii="Arial" w:eastAsia="Times New Roman" w:hAnsi="Arial"/>
          <w:sz w:val="24"/>
          <w:szCs w:val="24"/>
          <w:lang w:val="es-ES" w:eastAsia="es-ES"/>
        </w:rPr>
        <w:t xml:space="preserve">; 20. Dzilam de Bravo; 21. </w:t>
      </w:r>
      <w:proofErr w:type="spellStart"/>
      <w:r w:rsidRPr="0076165F">
        <w:rPr>
          <w:rFonts w:ascii="Arial" w:eastAsia="Times New Roman" w:hAnsi="Arial"/>
          <w:sz w:val="24"/>
          <w:szCs w:val="24"/>
          <w:lang w:val="es-ES" w:eastAsia="es-ES"/>
        </w:rPr>
        <w:t>Dzoncauich</w:t>
      </w:r>
      <w:proofErr w:type="spellEnd"/>
      <w:r w:rsidRPr="0076165F">
        <w:rPr>
          <w:rFonts w:ascii="Arial" w:eastAsia="Times New Roman" w:hAnsi="Arial"/>
          <w:sz w:val="24"/>
          <w:szCs w:val="24"/>
          <w:lang w:val="es-ES" w:eastAsia="es-ES"/>
        </w:rPr>
        <w:t xml:space="preserve">; 22. </w:t>
      </w:r>
      <w:proofErr w:type="spellStart"/>
      <w:r w:rsidRPr="0076165F">
        <w:rPr>
          <w:rFonts w:ascii="Arial" w:eastAsia="Times New Roman" w:hAnsi="Arial"/>
          <w:sz w:val="24"/>
          <w:szCs w:val="24"/>
          <w:lang w:val="es-ES" w:eastAsia="es-ES"/>
        </w:rPr>
        <w:t>Hocabá</w:t>
      </w:r>
      <w:proofErr w:type="spellEnd"/>
      <w:r w:rsidRPr="0076165F">
        <w:rPr>
          <w:rFonts w:ascii="Arial" w:eastAsia="Times New Roman" w:hAnsi="Arial"/>
          <w:sz w:val="24"/>
          <w:szCs w:val="24"/>
          <w:lang w:val="es-ES" w:eastAsia="es-ES"/>
        </w:rPr>
        <w:t xml:space="preserve">; 23. Hoctún; 24. Kanasín; 25. </w:t>
      </w:r>
      <w:proofErr w:type="spellStart"/>
      <w:r w:rsidRPr="0076165F">
        <w:rPr>
          <w:rFonts w:ascii="Arial" w:eastAsia="Times New Roman" w:hAnsi="Arial"/>
          <w:sz w:val="24"/>
          <w:szCs w:val="24"/>
          <w:lang w:val="es-ES" w:eastAsia="es-ES"/>
        </w:rPr>
        <w:t>Kaua</w:t>
      </w:r>
      <w:proofErr w:type="spellEnd"/>
      <w:r w:rsidRPr="0076165F">
        <w:rPr>
          <w:rFonts w:ascii="Arial" w:eastAsia="Times New Roman" w:hAnsi="Arial"/>
          <w:sz w:val="24"/>
          <w:szCs w:val="24"/>
          <w:lang w:val="es-ES" w:eastAsia="es-ES"/>
        </w:rPr>
        <w:t xml:space="preserve">; 26. Mama; 27. Maxcanú; 28. Motul; 29. </w:t>
      </w:r>
      <w:proofErr w:type="spellStart"/>
      <w:r w:rsidRPr="0076165F">
        <w:rPr>
          <w:rFonts w:ascii="Arial" w:eastAsia="Times New Roman" w:hAnsi="Arial"/>
          <w:sz w:val="24"/>
          <w:szCs w:val="24"/>
          <w:lang w:val="es-ES" w:eastAsia="es-ES"/>
        </w:rPr>
        <w:t>Muxupip</w:t>
      </w:r>
      <w:proofErr w:type="spellEnd"/>
      <w:r w:rsidRPr="0076165F">
        <w:rPr>
          <w:rFonts w:ascii="Arial" w:eastAsia="Times New Roman" w:hAnsi="Arial"/>
          <w:sz w:val="24"/>
          <w:szCs w:val="24"/>
          <w:lang w:val="es-ES" w:eastAsia="es-ES"/>
        </w:rPr>
        <w:t xml:space="preserve">; 30. Quintana Roo; 31. Río Lagartos; 32. </w:t>
      </w:r>
      <w:proofErr w:type="spellStart"/>
      <w:r w:rsidRPr="0076165F">
        <w:rPr>
          <w:rFonts w:ascii="Arial" w:eastAsia="Times New Roman" w:hAnsi="Arial"/>
          <w:sz w:val="24"/>
          <w:szCs w:val="24"/>
          <w:lang w:val="es-ES" w:eastAsia="es-ES"/>
        </w:rPr>
        <w:t>Samahil</w:t>
      </w:r>
      <w:proofErr w:type="spellEnd"/>
      <w:r w:rsidRPr="0076165F">
        <w:rPr>
          <w:rFonts w:ascii="Arial" w:eastAsia="Times New Roman" w:hAnsi="Arial"/>
          <w:sz w:val="24"/>
          <w:szCs w:val="24"/>
          <w:lang w:val="es-ES" w:eastAsia="es-ES"/>
        </w:rPr>
        <w:t xml:space="preserve">; 33. </w:t>
      </w:r>
      <w:proofErr w:type="spellStart"/>
      <w:r w:rsidRPr="0076165F">
        <w:rPr>
          <w:rFonts w:ascii="Arial" w:eastAsia="Times New Roman" w:hAnsi="Arial"/>
          <w:sz w:val="24"/>
          <w:szCs w:val="24"/>
          <w:lang w:val="es-ES" w:eastAsia="es-ES"/>
        </w:rPr>
        <w:t>Sanahcat</w:t>
      </w:r>
      <w:proofErr w:type="spellEnd"/>
      <w:r w:rsidRPr="0076165F">
        <w:rPr>
          <w:rFonts w:ascii="Arial" w:eastAsia="Times New Roman" w:hAnsi="Arial"/>
          <w:sz w:val="24"/>
          <w:szCs w:val="24"/>
          <w:lang w:val="es-ES" w:eastAsia="es-ES"/>
        </w:rPr>
        <w:t xml:space="preserve">; 34. San Felipe; 35. </w:t>
      </w:r>
      <w:proofErr w:type="spellStart"/>
      <w:r w:rsidRPr="0076165F">
        <w:rPr>
          <w:rFonts w:ascii="Arial" w:eastAsia="Times New Roman" w:hAnsi="Arial"/>
          <w:sz w:val="24"/>
          <w:szCs w:val="24"/>
          <w:lang w:val="es-ES" w:eastAsia="es-ES"/>
        </w:rPr>
        <w:t>Seyé</w:t>
      </w:r>
      <w:proofErr w:type="spellEnd"/>
      <w:r w:rsidRPr="0076165F">
        <w:rPr>
          <w:rFonts w:ascii="Arial" w:eastAsia="Times New Roman" w:hAnsi="Arial"/>
          <w:sz w:val="24"/>
          <w:szCs w:val="24"/>
          <w:lang w:val="es-ES" w:eastAsia="es-ES"/>
        </w:rPr>
        <w:t xml:space="preserve">; 36. Sotuta; 37. </w:t>
      </w:r>
      <w:proofErr w:type="spellStart"/>
      <w:r w:rsidRPr="0076165F">
        <w:rPr>
          <w:rFonts w:ascii="Arial" w:eastAsia="Times New Roman" w:hAnsi="Arial"/>
          <w:sz w:val="24"/>
          <w:szCs w:val="24"/>
          <w:lang w:val="es-ES" w:eastAsia="es-ES"/>
        </w:rPr>
        <w:t>Sinanché</w:t>
      </w:r>
      <w:proofErr w:type="spellEnd"/>
      <w:r w:rsidRPr="0076165F">
        <w:rPr>
          <w:rFonts w:ascii="Arial" w:eastAsia="Times New Roman" w:hAnsi="Arial"/>
          <w:sz w:val="24"/>
          <w:szCs w:val="24"/>
          <w:lang w:val="es-ES" w:eastAsia="es-ES"/>
        </w:rPr>
        <w:t xml:space="preserve">; 38. </w:t>
      </w:r>
      <w:proofErr w:type="spellStart"/>
      <w:r w:rsidRPr="0076165F">
        <w:rPr>
          <w:rFonts w:ascii="Arial" w:eastAsia="Times New Roman" w:hAnsi="Arial"/>
          <w:sz w:val="24"/>
          <w:szCs w:val="24"/>
          <w:lang w:val="es-ES" w:eastAsia="es-ES"/>
        </w:rPr>
        <w:t>Tahdziú</w:t>
      </w:r>
      <w:proofErr w:type="spellEnd"/>
      <w:r w:rsidRPr="0076165F">
        <w:rPr>
          <w:rFonts w:ascii="Arial" w:eastAsia="Times New Roman" w:hAnsi="Arial"/>
          <w:sz w:val="24"/>
          <w:szCs w:val="24"/>
          <w:lang w:val="es-ES" w:eastAsia="es-ES"/>
        </w:rPr>
        <w:t xml:space="preserve">; 39. Tekal de Venegas; 40. </w:t>
      </w:r>
      <w:proofErr w:type="spellStart"/>
      <w:r w:rsidRPr="0076165F">
        <w:rPr>
          <w:rFonts w:ascii="Arial" w:eastAsia="Times New Roman" w:hAnsi="Arial"/>
          <w:sz w:val="24"/>
          <w:szCs w:val="24"/>
          <w:lang w:val="es-ES" w:eastAsia="es-ES"/>
        </w:rPr>
        <w:t>Tekantó</w:t>
      </w:r>
      <w:proofErr w:type="spellEnd"/>
      <w:r w:rsidRPr="0076165F">
        <w:rPr>
          <w:rFonts w:ascii="Arial" w:eastAsia="Times New Roman" w:hAnsi="Arial"/>
          <w:sz w:val="24"/>
          <w:szCs w:val="24"/>
          <w:lang w:val="es-ES" w:eastAsia="es-ES"/>
        </w:rPr>
        <w:t xml:space="preserve">; 41. Tekax; 42. Telchac Puerto; 43. Telchac Pueblo; 44. </w:t>
      </w:r>
      <w:proofErr w:type="spellStart"/>
      <w:r w:rsidRPr="0076165F">
        <w:rPr>
          <w:rFonts w:ascii="Arial" w:eastAsia="Times New Roman" w:hAnsi="Arial"/>
          <w:sz w:val="24"/>
          <w:szCs w:val="24"/>
          <w:lang w:val="es-ES" w:eastAsia="es-ES"/>
        </w:rPr>
        <w:t>Temax</w:t>
      </w:r>
      <w:proofErr w:type="spellEnd"/>
      <w:r w:rsidRPr="0076165F">
        <w:rPr>
          <w:rFonts w:ascii="Arial" w:eastAsia="Times New Roman" w:hAnsi="Arial"/>
          <w:sz w:val="24"/>
          <w:szCs w:val="24"/>
          <w:lang w:val="es-ES" w:eastAsia="es-ES"/>
        </w:rPr>
        <w:t xml:space="preserve">; 45. </w:t>
      </w:r>
      <w:proofErr w:type="spellStart"/>
      <w:r w:rsidRPr="0076165F">
        <w:rPr>
          <w:rFonts w:ascii="Arial" w:eastAsia="Times New Roman" w:hAnsi="Arial"/>
          <w:sz w:val="24"/>
          <w:szCs w:val="24"/>
          <w:lang w:val="es-ES" w:eastAsia="es-ES"/>
        </w:rPr>
        <w:t>Tepakán</w:t>
      </w:r>
      <w:proofErr w:type="spellEnd"/>
      <w:r w:rsidRPr="0076165F">
        <w:rPr>
          <w:rFonts w:ascii="Arial" w:eastAsia="Times New Roman" w:hAnsi="Arial"/>
          <w:sz w:val="24"/>
          <w:szCs w:val="24"/>
          <w:lang w:val="es-ES" w:eastAsia="es-ES"/>
        </w:rPr>
        <w:t xml:space="preserve">; 46. </w:t>
      </w:r>
      <w:proofErr w:type="spellStart"/>
      <w:r w:rsidRPr="0076165F">
        <w:rPr>
          <w:rFonts w:ascii="Arial" w:eastAsia="Times New Roman" w:hAnsi="Arial"/>
          <w:sz w:val="24"/>
          <w:szCs w:val="24"/>
          <w:lang w:val="es-ES" w:eastAsia="es-ES"/>
        </w:rPr>
        <w:t>Tetiz</w:t>
      </w:r>
      <w:proofErr w:type="spellEnd"/>
      <w:r w:rsidRPr="0076165F">
        <w:rPr>
          <w:rFonts w:ascii="Arial" w:eastAsia="Times New Roman" w:hAnsi="Arial"/>
          <w:sz w:val="24"/>
          <w:szCs w:val="24"/>
          <w:lang w:val="es-ES" w:eastAsia="es-ES"/>
        </w:rPr>
        <w:t xml:space="preserve">; 47. </w:t>
      </w:r>
      <w:proofErr w:type="spellStart"/>
      <w:r w:rsidRPr="0076165F">
        <w:rPr>
          <w:rFonts w:ascii="Arial" w:eastAsia="Times New Roman" w:hAnsi="Arial"/>
          <w:sz w:val="24"/>
          <w:szCs w:val="24"/>
          <w:lang w:val="es-ES" w:eastAsia="es-ES"/>
        </w:rPr>
        <w:t>Timucuy</w:t>
      </w:r>
      <w:proofErr w:type="spellEnd"/>
      <w:r w:rsidRPr="0076165F">
        <w:rPr>
          <w:rFonts w:ascii="Arial" w:eastAsia="Times New Roman" w:hAnsi="Arial"/>
          <w:sz w:val="24"/>
          <w:szCs w:val="24"/>
          <w:lang w:val="es-ES" w:eastAsia="es-ES"/>
        </w:rPr>
        <w:t xml:space="preserve">; 48. </w:t>
      </w:r>
      <w:proofErr w:type="spellStart"/>
      <w:r w:rsidRPr="0076165F">
        <w:rPr>
          <w:rFonts w:ascii="Arial" w:eastAsia="Times New Roman" w:hAnsi="Arial"/>
          <w:sz w:val="24"/>
          <w:szCs w:val="24"/>
          <w:lang w:val="es-ES" w:eastAsia="es-ES"/>
        </w:rPr>
        <w:t>Tinum</w:t>
      </w:r>
      <w:proofErr w:type="spellEnd"/>
      <w:r w:rsidRPr="0076165F">
        <w:rPr>
          <w:rFonts w:ascii="Arial" w:eastAsia="Times New Roman" w:hAnsi="Arial"/>
          <w:sz w:val="24"/>
          <w:szCs w:val="24"/>
          <w:lang w:val="es-ES" w:eastAsia="es-ES"/>
        </w:rPr>
        <w:t xml:space="preserve">; 49. </w:t>
      </w:r>
      <w:proofErr w:type="spellStart"/>
      <w:r w:rsidRPr="0076165F">
        <w:rPr>
          <w:rFonts w:ascii="Arial" w:eastAsia="Times New Roman" w:hAnsi="Arial"/>
          <w:sz w:val="24"/>
          <w:szCs w:val="24"/>
          <w:lang w:val="es-ES" w:eastAsia="es-ES"/>
        </w:rPr>
        <w:t>Tixpéual</w:t>
      </w:r>
      <w:proofErr w:type="spellEnd"/>
      <w:r w:rsidRPr="0076165F">
        <w:rPr>
          <w:rFonts w:ascii="Arial" w:eastAsia="Times New Roman" w:hAnsi="Arial"/>
          <w:sz w:val="24"/>
          <w:szCs w:val="24"/>
          <w:lang w:val="es-ES" w:eastAsia="es-ES"/>
        </w:rPr>
        <w:t xml:space="preserve"> y 50. </w:t>
      </w:r>
      <w:proofErr w:type="spellStart"/>
      <w:r w:rsidRPr="0076165F">
        <w:rPr>
          <w:rFonts w:ascii="Arial" w:eastAsia="Times New Roman" w:hAnsi="Arial"/>
          <w:sz w:val="24"/>
          <w:szCs w:val="24"/>
          <w:lang w:val="es-ES" w:eastAsia="es-ES"/>
        </w:rPr>
        <w:t>Uayma</w:t>
      </w:r>
      <w:proofErr w:type="spellEnd"/>
      <w:r w:rsidRPr="0076165F">
        <w:rPr>
          <w:rFonts w:ascii="Arial" w:eastAsia="Times New Roman" w:hAnsi="Arial"/>
          <w:sz w:val="24"/>
          <w:szCs w:val="24"/>
          <w:lang w:val="es-ES" w:eastAsia="es-ES"/>
        </w:rPr>
        <w:t>, todos del Estado de Yucatán, deben ser aprobadas con las modificaciones aludidas en el presente dictamen</w:t>
      </w:r>
      <w:r w:rsidRPr="0076165F">
        <w:rPr>
          <w:rFonts w:ascii="Arial" w:eastAsia="Times New Roman" w:hAnsi="Arial"/>
          <w:iCs/>
          <w:sz w:val="24"/>
          <w:szCs w:val="24"/>
          <w:lang w:val="es-ES" w:eastAsia="es-ES"/>
        </w:rPr>
        <w:t>.</w:t>
      </w:r>
    </w:p>
    <w:p w14:paraId="54F5ABBD" w14:textId="77777777" w:rsidR="00CD24BC" w:rsidRPr="0076165F" w:rsidRDefault="00CD24BC" w:rsidP="00CD24BC">
      <w:pPr>
        <w:spacing w:after="0" w:line="240" w:lineRule="auto"/>
        <w:ind w:firstLine="709"/>
        <w:jc w:val="both"/>
        <w:rPr>
          <w:rFonts w:ascii="Arial" w:eastAsia="Times New Roman" w:hAnsi="Arial"/>
          <w:iCs/>
          <w:sz w:val="24"/>
          <w:szCs w:val="24"/>
          <w:lang w:val="es-ES" w:eastAsia="es-ES"/>
        </w:rPr>
      </w:pPr>
    </w:p>
    <w:p w14:paraId="6FCA5277" w14:textId="77777777" w:rsidR="00CD24BC" w:rsidRPr="0076165F" w:rsidRDefault="00CD24BC" w:rsidP="00CD24BC">
      <w:pPr>
        <w:spacing w:after="0" w:line="360" w:lineRule="auto"/>
        <w:ind w:firstLine="709"/>
        <w:jc w:val="both"/>
        <w:rPr>
          <w:rFonts w:ascii="Arial" w:eastAsia="Times New Roman" w:hAnsi="Arial"/>
          <w:sz w:val="24"/>
          <w:szCs w:val="24"/>
          <w:lang w:val="es-ES" w:eastAsia="es-ES"/>
        </w:rPr>
      </w:pPr>
      <w:r w:rsidRPr="0076165F">
        <w:rPr>
          <w:rFonts w:ascii="Arial" w:eastAsia="Times New Roman" w:hAnsi="Arial"/>
          <w:sz w:val="24"/>
          <w:szCs w:val="24"/>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FCA9325"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97BCC47"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7D58B7D3"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4F911968"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lastRenderedPageBreak/>
        <w:t>D E C R E T O</w:t>
      </w:r>
    </w:p>
    <w:p w14:paraId="0C887916"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6A99ED59"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 xml:space="preserve">Por el que se aprueban 50 leyes de ingresos municipales </w:t>
      </w:r>
    </w:p>
    <w:p w14:paraId="2E335D8E"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t>correspondientes al ejercicio fiscal 2025</w:t>
      </w:r>
    </w:p>
    <w:p w14:paraId="0398CB7C" w14:textId="77777777" w:rsidR="00CD24BC" w:rsidRDefault="00CD24BC" w:rsidP="00CD24BC">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17C2FEAF" w14:textId="77777777" w:rsidR="00CD24BC" w:rsidRDefault="00CD24BC" w:rsidP="00CD24BC">
      <w:pPr>
        <w:widowControl w:val="0"/>
        <w:autoSpaceDE w:val="0"/>
        <w:autoSpaceDN w:val="0"/>
        <w:spacing w:after="0"/>
        <w:jc w:val="both"/>
        <w:rPr>
          <w:rFonts w:ascii="Arial" w:eastAsia="Arial" w:hAnsi="Arial"/>
          <w:sz w:val="20"/>
          <w:szCs w:val="20"/>
          <w:lang w:val="es-ES" w:eastAsia="es-ES" w:bidi="es-ES"/>
        </w:rPr>
      </w:pPr>
      <w:r>
        <w:rPr>
          <w:rFonts w:ascii="Arial" w:eastAsia="Arial" w:hAnsi="Arial"/>
          <w:b/>
          <w:sz w:val="20"/>
          <w:szCs w:val="20"/>
          <w:lang w:val="es-ES" w:eastAsia="es-ES" w:bidi="es-ES"/>
        </w:rPr>
        <w:t xml:space="preserve">Artículo primero. </w:t>
      </w:r>
      <w:r>
        <w:rPr>
          <w:rFonts w:ascii="Arial" w:eastAsia="Arial" w:hAnsi="Arial"/>
          <w:sz w:val="20"/>
          <w:szCs w:val="20"/>
          <w:lang w:val="es-ES" w:eastAsia="es-ES" w:bidi="es-ES"/>
        </w:rPr>
        <w:t xml:space="preserve">Se aprueban las leyes de ingresos de los municipios de: </w:t>
      </w:r>
      <w:r w:rsidRPr="006423FF">
        <w:rPr>
          <w:rFonts w:ascii="Arial" w:eastAsia="Arial" w:hAnsi="Arial"/>
          <w:b/>
          <w:sz w:val="20"/>
          <w:szCs w:val="20"/>
          <w:lang w:val="es-ES" w:eastAsia="es-ES" w:bidi="es-ES"/>
        </w:rPr>
        <w:t xml:space="preserve">1. Abalá; 2. Acanceh;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 </w:t>
      </w:r>
      <w:proofErr w:type="spellStart"/>
      <w:r w:rsidRPr="006423FF">
        <w:rPr>
          <w:rFonts w:ascii="Arial" w:eastAsia="Arial" w:hAnsi="Arial"/>
          <w:b/>
          <w:sz w:val="20"/>
          <w:szCs w:val="20"/>
          <w:lang w:val="es-ES" w:eastAsia="es-ES" w:bidi="es-ES"/>
        </w:rPr>
        <w:t>Akil</w:t>
      </w:r>
      <w:proofErr w:type="spellEnd"/>
      <w:r w:rsidRPr="006423FF">
        <w:rPr>
          <w:rFonts w:ascii="Arial" w:eastAsia="Arial" w:hAnsi="Arial"/>
          <w:b/>
          <w:sz w:val="20"/>
          <w:szCs w:val="20"/>
          <w:lang w:val="es-ES" w:eastAsia="es-ES" w:bidi="es-ES"/>
        </w:rPr>
        <w:t xml:space="preserve">; 4. Bokobá; 5. </w:t>
      </w:r>
      <w:proofErr w:type="spellStart"/>
      <w:r w:rsidRPr="006423FF">
        <w:rPr>
          <w:rFonts w:ascii="Arial" w:eastAsia="Arial" w:hAnsi="Arial"/>
          <w:b/>
          <w:sz w:val="20"/>
          <w:szCs w:val="20"/>
          <w:lang w:val="es-ES" w:eastAsia="es-ES" w:bidi="es-ES"/>
        </w:rPr>
        <w:t>Buctzotz</w:t>
      </w:r>
      <w:proofErr w:type="spellEnd"/>
      <w:r w:rsidRPr="006423FF">
        <w:rPr>
          <w:rFonts w:ascii="Arial" w:eastAsia="Arial" w:hAnsi="Arial"/>
          <w:b/>
          <w:sz w:val="20"/>
          <w:szCs w:val="20"/>
          <w:lang w:val="es-ES" w:eastAsia="es-ES" w:bidi="es-ES"/>
        </w:rPr>
        <w:t xml:space="preserve">; 6. </w:t>
      </w:r>
      <w:proofErr w:type="spellStart"/>
      <w:r w:rsidRPr="006423FF">
        <w:rPr>
          <w:rFonts w:ascii="Arial" w:eastAsia="Arial" w:hAnsi="Arial"/>
          <w:b/>
          <w:sz w:val="20"/>
          <w:szCs w:val="20"/>
          <w:lang w:val="es-ES" w:eastAsia="es-ES" w:bidi="es-ES"/>
        </w:rPr>
        <w:t>Cacalchén</w:t>
      </w:r>
      <w:proofErr w:type="spellEnd"/>
      <w:r w:rsidRPr="006423FF">
        <w:rPr>
          <w:rFonts w:ascii="Arial" w:eastAsia="Arial" w:hAnsi="Arial"/>
          <w:b/>
          <w:sz w:val="20"/>
          <w:szCs w:val="20"/>
          <w:lang w:val="es-ES" w:eastAsia="es-ES" w:bidi="es-ES"/>
        </w:rPr>
        <w:t xml:space="preserve">; 7. </w:t>
      </w:r>
      <w:proofErr w:type="spellStart"/>
      <w:r w:rsidRPr="006423FF">
        <w:rPr>
          <w:rFonts w:ascii="Arial" w:eastAsia="Arial" w:hAnsi="Arial"/>
          <w:b/>
          <w:sz w:val="20"/>
          <w:szCs w:val="20"/>
          <w:lang w:val="es-ES" w:eastAsia="es-ES" w:bidi="es-ES"/>
        </w:rPr>
        <w:t>Calotmul</w:t>
      </w:r>
      <w:proofErr w:type="spellEnd"/>
      <w:r w:rsidRPr="006423FF">
        <w:rPr>
          <w:rFonts w:ascii="Arial" w:eastAsia="Arial" w:hAnsi="Arial"/>
          <w:b/>
          <w:sz w:val="20"/>
          <w:szCs w:val="20"/>
          <w:lang w:val="es-ES" w:eastAsia="es-ES" w:bidi="es-ES"/>
        </w:rPr>
        <w:t xml:space="preserve">; 8. </w:t>
      </w:r>
      <w:proofErr w:type="spellStart"/>
      <w:r w:rsidRPr="006423FF">
        <w:rPr>
          <w:rFonts w:ascii="Arial" w:eastAsia="Arial" w:hAnsi="Arial"/>
          <w:b/>
          <w:sz w:val="20"/>
          <w:szCs w:val="20"/>
          <w:lang w:val="es-ES" w:eastAsia="es-ES" w:bidi="es-ES"/>
        </w:rPr>
        <w:t>Cansahcab</w:t>
      </w:r>
      <w:proofErr w:type="spellEnd"/>
      <w:r w:rsidRPr="006423FF">
        <w:rPr>
          <w:rFonts w:ascii="Arial" w:eastAsia="Arial" w:hAnsi="Arial"/>
          <w:b/>
          <w:sz w:val="20"/>
          <w:szCs w:val="20"/>
          <w:lang w:val="es-ES" w:eastAsia="es-ES" w:bidi="es-ES"/>
        </w:rPr>
        <w:t xml:space="preserve">; 9. Celestún; 10. Conkal; 11. </w:t>
      </w:r>
      <w:proofErr w:type="spellStart"/>
      <w:r w:rsidRPr="006423FF">
        <w:rPr>
          <w:rFonts w:ascii="Arial" w:eastAsia="Arial" w:hAnsi="Arial"/>
          <w:b/>
          <w:sz w:val="20"/>
          <w:szCs w:val="20"/>
          <w:lang w:val="es-ES" w:eastAsia="es-ES" w:bidi="es-ES"/>
        </w:rPr>
        <w:t>Cuncunul</w:t>
      </w:r>
      <w:proofErr w:type="spellEnd"/>
      <w:r w:rsidRPr="006423FF">
        <w:rPr>
          <w:rFonts w:ascii="Arial" w:eastAsia="Arial" w:hAnsi="Arial"/>
          <w:b/>
          <w:sz w:val="20"/>
          <w:szCs w:val="20"/>
          <w:lang w:val="es-ES" w:eastAsia="es-ES" w:bidi="es-ES"/>
        </w:rPr>
        <w:t xml:space="preserve">; 12. </w:t>
      </w:r>
      <w:proofErr w:type="spellStart"/>
      <w:r w:rsidRPr="006423FF">
        <w:rPr>
          <w:rFonts w:ascii="Arial" w:eastAsia="Arial" w:hAnsi="Arial"/>
          <w:b/>
          <w:sz w:val="20"/>
          <w:szCs w:val="20"/>
          <w:lang w:val="es-ES" w:eastAsia="es-ES" w:bidi="es-ES"/>
        </w:rPr>
        <w:t>Chacsinkín</w:t>
      </w:r>
      <w:proofErr w:type="spellEnd"/>
      <w:r w:rsidRPr="006423FF">
        <w:rPr>
          <w:rFonts w:ascii="Arial" w:eastAsia="Arial" w:hAnsi="Arial"/>
          <w:b/>
          <w:sz w:val="20"/>
          <w:szCs w:val="20"/>
          <w:lang w:val="es-ES" w:eastAsia="es-ES" w:bidi="es-ES"/>
        </w:rPr>
        <w:t xml:space="preserve">; 13. </w:t>
      </w:r>
      <w:proofErr w:type="spellStart"/>
      <w:r w:rsidRPr="006423FF">
        <w:rPr>
          <w:rFonts w:ascii="Arial" w:eastAsia="Arial" w:hAnsi="Arial"/>
          <w:b/>
          <w:sz w:val="20"/>
          <w:szCs w:val="20"/>
          <w:lang w:val="es-ES" w:eastAsia="es-ES" w:bidi="es-ES"/>
        </w:rPr>
        <w:t>Chankom</w:t>
      </w:r>
      <w:proofErr w:type="spellEnd"/>
      <w:r w:rsidRPr="006423FF">
        <w:rPr>
          <w:rFonts w:ascii="Arial" w:eastAsia="Arial" w:hAnsi="Arial"/>
          <w:b/>
          <w:sz w:val="20"/>
          <w:szCs w:val="20"/>
          <w:lang w:val="es-ES" w:eastAsia="es-ES" w:bidi="es-ES"/>
        </w:rPr>
        <w:t xml:space="preserve">; 14. Chemax; 15. </w:t>
      </w:r>
      <w:proofErr w:type="spellStart"/>
      <w:r w:rsidRPr="006423FF">
        <w:rPr>
          <w:rFonts w:ascii="Arial" w:eastAsia="Arial" w:hAnsi="Arial"/>
          <w:b/>
          <w:sz w:val="20"/>
          <w:szCs w:val="20"/>
          <w:lang w:val="es-ES" w:eastAsia="es-ES" w:bidi="es-ES"/>
        </w:rPr>
        <w:t>Chichimilá</w:t>
      </w:r>
      <w:proofErr w:type="spellEnd"/>
      <w:r w:rsidRPr="006423FF">
        <w:rPr>
          <w:rFonts w:ascii="Arial" w:eastAsia="Arial" w:hAnsi="Arial"/>
          <w:b/>
          <w:sz w:val="20"/>
          <w:szCs w:val="20"/>
          <w:lang w:val="es-ES" w:eastAsia="es-ES" w:bidi="es-ES"/>
        </w:rPr>
        <w:t xml:space="preserve">; 16. Chicxulub Pueblo; 17. </w:t>
      </w:r>
      <w:proofErr w:type="spellStart"/>
      <w:r w:rsidRPr="006423FF">
        <w:rPr>
          <w:rFonts w:ascii="Arial" w:eastAsia="Arial" w:hAnsi="Arial"/>
          <w:b/>
          <w:sz w:val="20"/>
          <w:szCs w:val="20"/>
          <w:lang w:val="es-ES" w:eastAsia="es-ES" w:bidi="es-ES"/>
        </w:rPr>
        <w:t>Chikindzonot</w:t>
      </w:r>
      <w:proofErr w:type="spellEnd"/>
      <w:r w:rsidRPr="006423FF">
        <w:rPr>
          <w:rFonts w:ascii="Arial" w:eastAsia="Arial" w:hAnsi="Arial"/>
          <w:b/>
          <w:sz w:val="20"/>
          <w:szCs w:val="20"/>
          <w:lang w:val="es-ES" w:eastAsia="es-ES" w:bidi="es-ES"/>
        </w:rPr>
        <w:t xml:space="preserve">; 18. </w:t>
      </w:r>
      <w:proofErr w:type="spellStart"/>
      <w:r w:rsidRPr="006423FF">
        <w:rPr>
          <w:rFonts w:ascii="Arial" w:eastAsia="Arial" w:hAnsi="Arial"/>
          <w:b/>
          <w:sz w:val="20"/>
          <w:szCs w:val="20"/>
          <w:lang w:val="es-ES" w:eastAsia="es-ES" w:bidi="es-ES"/>
        </w:rPr>
        <w:t>Chumayel</w:t>
      </w:r>
      <w:proofErr w:type="spellEnd"/>
      <w:r w:rsidRPr="006423FF">
        <w:rPr>
          <w:rFonts w:ascii="Arial" w:eastAsia="Arial" w:hAnsi="Arial"/>
          <w:b/>
          <w:sz w:val="20"/>
          <w:szCs w:val="20"/>
          <w:lang w:val="es-ES" w:eastAsia="es-ES" w:bidi="es-ES"/>
        </w:rPr>
        <w:t xml:space="preserve">; 19. </w:t>
      </w:r>
      <w:proofErr w:type="spellStart"/>
      <w:r w:rsidRPr="006423FF">
        <w:rPr>
          <w:rFonts w:ascii="Arial" w:eastAsia="Arial" w:hAnsi="Arial"/>
          <w:b/>
          <w:sz w:val="20"/>
          <w:szCs w:val="20"/>
          <w:lang w:val="es-ES" w:eastAsia="es-ES" w:bidi="es-ES"/>
        </w:rPr>
        <w:t>Dzidzantún</w:t>
      </w:r>
      <w:proofErr w:type="spellEnd"/>
      <w:r w:rsidRPr="006423FF">
        <w:rPr>
          <w:rFonts w:ascii="Arial" w:eastAsia="Arial" w:hAnsi="Arial"/>
          <w:b/>
          <w:sz w:val="20"/>
          <w:szCs w:val="20"/>
          <w:lang w:val="es-ES" w:eastAsia="es-ES" w:bidi="es-ES"/>
        </w:rPr>
        <w:t xml:space="preserve">; 20. Dzilam de Bravo; 21. </w:t>
      </w:r>
      <w:proofErr w:type="spellStart"/>
      <w:r w:rsidRPr="006423FF">
        <w:rPr>
          <w:rFonts w:ascii="Arial" w:eastAsia="Arial" w:hAnsi="Arial"/>
          <w:b/>
          <w:sz w:val="20"/>
          <w:szCs w:val="20"/>
          <w:lang w:val="es-ES" w:eastAsia="es-ES" w:bidi="es-ES"/>
        </w:rPr>
        <w:t>Dzoncauich</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22. </w:t>
      </w:r>
      <w:proofErr w:type="spellStart"/>
      <w:r w:rsidRPr="006423FF">
        <w:rPr>
          <w:rFonts w:ascii="Arial" w:eastAsia="Arial" w:hAnsi="Arial"/>
          <w:b/>
          <w:sz w:val="20"/>
          <w:szCs w:val="20"/>
          <w:lang w:val="es-ES" w:eastAsia="es-ES" w:bidi="es-ES"/>
        </w:rPr>
        <w:t>Hocabá</w:t>
      </w:r>
      <w:proofErr w:type="spellEnd"/>
      <w:r w:rsidRPr="006423FF">
        <w:rPr>
          <w:rFonts w:ascii="Arial" w:eastAsia="Arial" w:hAnsi="Arial"/>
          <w:b/>
          <w:sz w:val="20"/>
          <w:szCs w:val="20"/>
          <w:lang w:val="es-ES" w:eastAsia="es-ES" w:bidi="es-ES"/>
        </w:rPr>
        <w:t xml:space="preserve">; 23. Hoctún; 24. Kanasín; 25. </w:t>
      </w:r>
      <w:proofErr w:type="spellStart"/>
      <w:r w:rsidRPr="006423FF">
        <w:rPr>
          <w:rFonts w:ascii="Arial" w:eastAsia="Arial" w:hAnsi="Arial"/>
          <w:b/>
          <w:sz w:val="20"/>
          <w:szCs w:val="20"/>
          <w:lang w:val="es-ES" w:eastAsia="es-ES" w:bidi="es-ES"/>
        </w:rPr>
        <w:t>Kaua</w:t>
      </w:r>
      <w:proofErr w:type="spellEnd"/>
      <w:r w:rsidRPr="006423FF">
        <w:rPr>
          <w:rFonts w:ascii="Arial" w:eastAsia="Arial" w:hAnsi="Arial"/>
          <w:b/>
          <w:sz w:val="20"/>
          <w:szCs w:val="20"/>
          <w:lang w:val="es-ES" w:eastAsia="es-ES" w:bidi="es-ES"/>
        </w:rPr>
        <w:t xml:space="preserve">; 26. Mama; 27. Maxcanú; 28. Motul; 29. </w:t>
      </w:r>
      <w:proofErr w:type="spellStart"/>
      <w:r w:rsidRPr="006423FF">
        <w:rPr>
          <w:rFonts w:ascii="Arial" w:eastAsia="Arial" w:hAnsi="Arial"/>
          <w:b/>
          <w:sz w:val="20"/>
          <w:szCs w:val="20"/>
          <w:lang w:val="es-ES" w:eastAsia="es-ES" w:bidi="es-ES"/>
        </w:rPr>
        <w:t>Muxupip</w:t>
      </w:r>
      <w:proofErr w:type="spellEnd"/>
      <w:r w:rsidRPr="006423FF">
        <w:rPr>
          <w:rFonts w:ascii="Arial" w:eastAsia="Arial" w:hAnsi="Arial"/>
          <w:b/>
          <w:sz w:val="20"/>
          <w:szCs w:val="20"/>
          <w:lang w:val="es-ES" w:eastAsia="es-ES" w:bidi="es-ES"/>
        </w:rPr>
        <w:t xml:space="preserve">; 30. Quintana Roo; 31. Río Lagartos; 32. </w:t>
      </w:r>
      <w:proofErr w:type="spellStart"/>
      <w:r w:rsidRPr="006423FF">
        <w:rPr>
          <w:rFonts w:ascii="Arial" w:eastAsia="Arial" w:hAnsi="Arial"/>
          <w:b/>
          <w:sz w:val="20"/>
          <w:szCs w:val="20"/>
          <w:lang w:val="es-ES" w:eastAsia="es-ES" w:bidi="es-ES"/>
        </w:rPr>
        <w:t>Samahil</w:t>
      </w:r>
      <w:proofErr w:type="spellEnd"/>
      <w:r w:rsidRPr="006423FF">
        <w:rPr>
          <w:rFonts w:ascii="Arial" w:eastAsia="Arial" w:hAnsi="Arial"/>
          <w:b/>
          <w:sz w:val="20"/>
          <w:szCs w:val="20"/>
          <w:lang w:val="es-ES" w:eastAsia="es-ES" w:bidi="es-ES"/>
        </w:rPr>
        <w:t xml:space="preserve">; 33. </w:t>
      </w:r>
      <w:proofErr w:type="spellStart"/>
      <w:r w:rsidRPr="006423FF">
        <w:rPr>
          <w:rFonts w:ascii="Arial" w:eastAsia="Arial" w:hAnsi="Arial"/>
          <w:b/>
          <w:sz w:val="20"/>
          <w:szCs w:val="20"/>
          <w:lang w:val="es-ES" w:eastAsia="es-ES" w:bidi="es-ES"/>
        </w:rPr>
        <w:t>Sanahcat</w:t>
      </w:r>
      <w:proofErr w:type="spellEnd"/>
      <w:r w:rsidRPr="006423FF">
        <w:rPr>
          <w:rFonts w:ascii="Arial" w:eastAsia="Arial" w:hAnsi="Arial"/>
          <w:b/>
          <w:sz w:val="20"/>
          <w:szCs w:val="20"/>
          <w:lang w:val="es-ES" w:eastAsia="es-ES" w:bidi="es-ES"/>
        </w:rPr>
        <w:t xml:space="preserve">; 34. San Felipe; 35. </w:t>
      </w:r>
      <w:proofErr w:type="spellStart"/>
      <w:r w:rsidRPr="006423FF">
        <w:rPr>
          <w:rFonts w:ascii="Arial" w:eastAsia="Arial" w:hAnsi="Arial"/>
          <w:b/>
          <w:sz w:val="20"/>
          <w:szCs w:val="20"/>
          <w:lang w:val="es-ES" w:eastAsia="es-ES" w:bidi="es-ES"/>
        </w:rPr>
        <w:t>Seyé</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36. </w:t>
      </w:r>
      <w:proofErr w:type="spellStart"/>
      <w:r w:rsidRPr="006423FF">
        <w:rPr>
          <w:rFonts w:ascii="Arial" w:eastAsia="Arial" w:hAnsi="Arial"/>
          <w:b/>
          <w:sz w:val="20"/>
          <w:szCs w:val="20"/>
          <w:lang w:val="es-ES" w:eastAsia="es-ES" w:bidi="es-ES"/>
        </w:rPr>
        <w:t>Sinanché</w:t>
      </w:r>
      <w:proofErr w:type="spellEnd"/>
      <w:r w:rsidRPr="006423FF">
        <w:rPr>
          <w:rFonts w:ascii="Arial" w:eastAsia="Arial" w:hAnsi="Arial"/>
          <w:b/>
          <w:sz w:val="20"/>
          <w:szCs w:val="20"/>
          <w:lang w:val="es-ES" w:eastAsia="es-ES" w:bidi="es-ES"/>
        </w:rPr>
        <w:t>;</w:t>
      </w:r>
      <w:r>
        <w:rPr>
          <w:rFonts w:ascii="Arial" w:eastAsia="Arial" w:hAnsi="Arial"/>
          <w:b/>
          <w:sz w:val="20"/>
          <w:szCs w:val="20"/>
          <w:lang w:val="es-ES" w:eastAsia="es-ES" w:bidi="es-ES"/>
        </w:rPr>
        <w:t xml:space="preserve"> 37. </w:t>
      </w:r>
      <w:r w:rsidRPr="006423FF">
        <w:rPr>
          <w:rFonts w:ascii="Arial" w:eastAsia="Arial" w:hAnsi="Arial"/>
          <w:b/>
          <w:sz w:val="20"/>
          <w:szCs w:val="20"/>
          <w:lang w:val="es-ES" w:eastAsia="es-ES" w:bidi="es-ES"/>
        </w:rPr>
        <w:t xml:space="preserve">Sotuta; 38. </w:t>
      </w:r>
      <w:proofErr w:type="spellStart"/>
      <w:r w:rsidRPr="006423FF">
        <w:rPr>
          <w:rFonts w:ascii="Arial" w:eastAsia="Arial" w:hAnsi="Arial"/>
          <w:b/>
          <w:sz w:val="20"/>
          <w:szCs w:val="20"/>
          <w:lang w:val="es-ES" w:eastAsia="es-ES" w:bidi="es-ES"/>
        </w:rPr>
        <w:t>Tahdziú</w:t>
      </w:r>
      <w:proofErr w:type="spellEnd"/>
      <w:r w:rsidRPr="006423FF">
        <w:rPr>
          <w:rFonts w:ascii="Arial" w:eastAsia="Arial" w:hAnsi="Arial"/>
          <w:b/>
          <w:sz w:val="20"/>
          <w:szCs w:val="20"/>
          <w:lang w:val="es-ES" w:eastAsia="es-ES" w:bidi="es-ES"/>
        </w:rPr>
        <w:t xml:space="preserve">; 39. Tekal de Venegas; 40. </w:t>
      </w:r>
      <w:proofErr w:type="spellStart"/>
      <w:r w:rsidRPr="006423FF">
        <w:rPr>
          <w:rFonts w:ascii="Arial" w:eastAsia="Arial" w:hAnsi="Arial"/>
          <w:b/>
          <w:sz w:val="20"/>
          <w:szCs w:val="20"/>
          <w:lang w:val="es-ES" w:eastAsia="es-ES" w:bidi="es-ES"/>
        </w:rPr>
        <w:t>Tekantó</w:t>
      </w:r>
      <w:proofErr w:type="spellEnd"/>
      <w:r w:rsidRPr="006423FF">
        <w:rPr>
          <w:rFonts w:ascii="Arial" w:eastAsia="Arial" w:hAnsi="Arial"/>
          <w:b/>
          <w:sz w:val="20"/>
          <w:szCs w:val="20"/>
          <w:lang w:val="es-ES" w:eastAsia="es-ES" w:bidi="es-ES"/>
        </w:rPr>
        <w:t>; 41. Tekax; 42. Telchac Pueblo; 43. Telchac</w:t>
      </w:r>
      <w:r>
        <w:rPr>
          <w:rFonts w:ascii="Arial" w:eastAsia="Arial" w:hAnsi="Arial"/>
          <w:b/>
          <w:sz w:val="20"/>
          <w:szCs w:val="20"/>
          <w:lang w:val="es-ES" w:eastAsia="es-ES" w:bidi="es-ES"/>
        </w:rPr>
        <w:t xml:space="preserve"> </w:t>
      </w:r>
      <w:r w:rsidRPr="006423FF">
        <w:rPr>
          <w:rFonts w:ascii="Arial" w:eastAsia="Arial" w:hAnsi="Arial"/>
          <w:b/>
          <w:sz w:val="20"/>
          <w:szCs w:val="20"/>
          <w:lang w:val="es-ES" w:eastAsia="es-ES" w:bidi="es-ES"/>
        </w:rPr>
        <w:t xml:space="preserve">Puerto; 44. </w:t>
      </w:r>
      <w:proofErr w:type="spellStart"/>
      <w:r w:rsidRPr="006423FF">
        <w:rPr>
          <w:rFonts w:ascii="Arial" w:eastAsia="Arial" w:hAnsi="Arial"/>
          <w:b/>
          <w:sz w:val="20"/>
          <w:szCs w:val="20"/>
          <w:lang w:val="es-ES" w:eastAsia="es-ES" w:bidi="es-ES"/>
        </w:rPr>
        <w:t>Temax</w:t>
      </w:r>
      <w:proofErr w:type="spellEnd"/>
      <w:r w:rsidRPr="006423FF">
        <w:rPr>
          <w:rFonts w:ascii="Arial" w:eastAsia="Arial" w:hAnsi="Arial"/>
          <w:b/>
          <w:sz w:val="20"/>
          <w:szCs w:val="20"/>
          <w:lang w:val="es-ES" w:eastAsia="es-ES" w:bidi="es-ES"/>
        </w:rPr>
        <w:t xml:space="preserve">; 45. </w:t>
      </w:r>
      <w:proofErr w:type="spellStart"/>
      <w:r w:rsidRPr="006423FF">
        <w:rPr>
          <w:rFonts w:ascii="Arial" w:eastAsia="Arial" w:hAnsi="Arial"/>
          <w:b/>
          <w:sz w:val="20"/>
          <w:szCs w:val="20"/>
          <w:lang w:val="es-ES" w:eastAsia="es-ES" w:bidi="es-ES"/>
        </w:rPr>
        <w:t>Tepakán</w:t>
      </w:r>
      <w:proofErr w:type="spellEnd"/>
      <w:r w:rsidRPr="006423FF">
        <w:rPr>
          <w:rFonts w:ascii="Arial" w:eastAsia="Arial" w:hAnsi="Arial"/>
          <w:b/>
          <w:sz w:val="20"/>
          <w:szCs w:val="20"/>
          <w:lang w:val="es-ES" w:eastAsia="es-ES" w:bidi="es-ES"/>
        </w:rPr>
        <w:t xml:space="preserve">; 46. </w:t>
      </w:r>
      <w:proofErr w:type="spellStart"/>
      <w:r w:rsidRPr="006423FF">
        <w:rPr>
          <w:rFonts w:ascii="Arial" w:eastAsia="Arial" w:hAnsi="Arial"/>
          <w:b/>
          <w:sz w:val="20"/>
          <w:szCs w:val="20"/>
          <w:lang w:val="es-ES" w:eastAsia="es-ES" w:bidi="es-ES"/>
        </w:rPr>
        <w:t>Tetiz</w:t>
      </w:r>
      <w:proofErr w:type="spellEnd"/>
      <w:r w:rsidRPr="006423FF">
        <w:rPr>
          <w:rFonts w:ascii="Arial" w:eastAsia="Arial" w:hAnsi="Arial"/>
          <w:b/>
          <w:sz w:val="20"/>
          <w:szCs w:val="20"/>
          <w:lang w:val="es-ES" w:eastAsia="es-ES" w:bidi="es-ES"/>
        </w:rPr>
        <w:t xml:space="preserve">; 47. </w:t>
      </w:r>
      <w:proofErr w:type="spellStart"/>
      <w:r w:rsidRPr="006423FF">
        <w:rPr>
          <w:rFonts w:ascii="Arial" w:eastAsia="Arial" w:hAnsi="Arial"/>
          <w:b/>
          <w:sz w:val="20"/>
          <w:szCs w:val="20"/>
          <w:lang w:val="es-ES" w:eastAsia="es-ES" w:bidi="es-ES"/>
        </w:rPr>
        <w:t>Timucuy</w:t>
      </w:r>
      <w:proofErr w:type="spellEnd"/>
      <w:r w:rsidRPr="006423FF">
        <w:rPr>
          <w:rFonts w:ascii="Arial" w:eastAsia="Arial" w:hAnsi="Arial"/>
          <w:b/>
          <w:sz w:val="20"/>
          <w:szCs w:val="20"/>
          <w:lang w:val="es-ES" w:eastAsia="es-ES" w:bidi="es-ES"/>
        </w:rPr>
        <w:t xml:space="preserve">; 48. </w:t>
      </w:r>
      <w:proofErr w:type="spellStart"/>
      <w:r w:rsidRPr="006423FF">
        <w:rPr>
          <w:rFonts w:ascii="Arial" w:eastAsia="Arial" w:hAnsi="Arial"/>
          <w:b/>
          <w:sz w:val="20"/>
          <w:szCs w:val="20"/>
          <w:lang w:val="es-ES" w:eastAsia="es-ES" w:bidi="es-ES"/>
        </w:rPr>
        <w:t>Tinum</w:t>
      </w:r>
      <w:proofErr w:type="spellEnd"/>
      <w:r w:rsidRPr="006423FF">
        <w:rPr>
          <w:rFonts w:ascii="Arial" w:eastAsia="Arial" w:hAnsi="Arial"/>
          <w:b/>
          <w:sz w:val="20"/>
          <w:szCs w:val="20"/>
          <w:lang w:val="es-ES" w:eastAsia="es-ES" w:bidi="es-ES"/>
        </w:rPr>
        <w:t xml:space="preserve">; </w:t>
      </w:r>
      <w:r>
        <w:rPr>
          <w:rFonts w:ascii="Arial" w:eastAsia="Arial" w:hAnsi="Arial"/>
          <w:b/>
          <w:sz w:val="20"/>
          <w:szCs w:val="20"/>
          <w:lang w:val="es-ES" w:eastAsia="es-ES" w:bidi="es-ES"/>
        </w:rPr>
        <w:br/>
      </w:r>
      <w:r w:rsidRPr="006423FF">
        <w:rPr>
          <w:rFonts w:ascii="Arial" w:eastAsia="Arial" w:hAnsi="Arial"/>
          <w:b/>
          <w:sz w:val="20"/>
          <w:szCs w:val="20"/>
          <w:lang w:val="es-ES" w:eastAsia="es-ES" w:bidi="es-ES"/>
        </w:rPr>
        <w:t xml:space="preserve">49. </w:t>
      </w:r>
      <w:proofErr w:type="spellStart"/>
      <w:r w:rsidRPr="006423FF">
        <w:rPr>
          <w:rFonts w:ascii="Arial" w:eastAsia="Arial" w:hAnsi="Arial"/>
          <w:b/>
          <w:sz w:val="20"/>
          <w:szCs w:val="20"/>
          <w:lang w:val="es-ES" w:eastAsia="es-ES" w:bidi="es-ES"/>
        </w:rPr>
        <w:t>Tixpéual</w:t>
      </w:r>
      <w:proofErr w:type="spellEnd"/>
      <w:r w:rsidRPr="006423FF">
        <w:rPr>
          <w:rFonts w:ascii="Arial" w:eastAsia="Arial" w:hAnsi="Arial"/>
          <w:b/>
          <w:sz w:val="20"/>
          <w:szCs w:val="20"/>
          <w:lang w:val="es-ES" w:eastAsia="es-ES" w:bidi="es-ES"/>
        </w:rPr>
        <w:t xml:space="preserve"> y 50. </w:t>
      </w:r>
      <w:proofErr w:type="spellStart"/>
      <w:r w:rsidRPr="006423FF">
        <w:rPr>
          <w:rFonts w:ascii="Arial" w:eastAsia="Arial" w:hAnsi="Arial"/>
          <w:b/>
          <w:sz w:val="20"/>
          <w:szCs w:val="20"/>
          <w:lang w:val="es-ES" w:eastAsia="es-ES" w:bidi="es-ES"/>
        </w:rPr>
        <w:t>Uayma</w:t>
      </w:r>
      <w:proofErr w:type="spellEnd"/>
      <w:r>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Estado de Yucatán, para el Ejercicio Fiscal 2025.</w:t>
      </w:r>
    </w:p>
    <w:p w14:paraId="2EB1409D" w14:textId="77777777" w:rsidR="00CD24BC" w:rsidRDefault="00CD24BC" w:rsidP="00CD24BC">
      <w:pPr>
        <w:spacing w:after="0" w:line="360" w:lineRule="auto"/>
        <w:jc w:val="both"/>
        <w:rPr>
          <w:rFonts w:ascii="Arial" w:eastAsia="Arial" w:hAnsi="Arial"/>
          <w:b/>
          <w:sz w:val="20"/>
          <w:szCs w:val="20"/>
        </w:rPr>
      </w:pPr>
    </w:p>
    <w:p w14:paraId="610893FC" w14:textId="77777777" w:rsidR="00CD24BC" w:rsidRDefault="00CD24BC" w:rsidP="00CD24BC">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Pr>
          <w:rFonts w:ascii="Arial" w:eastAsia="Arial" w:hAnsi="Arial"/>
          <w:b/>
          <w:sz w:val="20"/>
          <w:szCs w:val="20"/>
          <w:lang w:val="es-ES" w:eastAsia="es-ES" w:bidi="es-ES"/>
        </w:rPr>
        <w:t>Artículo segundo.</w:t>
      </w:r>
      <w:r>
        <w:rPr>
          <w:rFonts w:ascii="Arial" w:eastAsia="Arial" w:hAnsi="Arial"/>
          <w:sz w:val="20"/>
          <w:szCs w:val="20"/>
          <w:lang w:val="es-ES" w:eastAsia="es-ES" w:bidi="es-ES"/>
        </w:rPr>
        <w:t xml:space="preserve"> Las leyes de ingresos a que se refiere el artículo anterior se describen en cada una de las fracciones siguientes:</w:t>
      </w:r>
    </w:p>
    <w:bookmarkEnd w:id="1"/>
    <w:p w14:paraId="6C40266F" w14:textId="77777777" w:rsidR="00CD24BC" w:rsidRDefault="00CD24BC" w:rsidP="009C1F1D">
      <w:pPr>
        <w:widowControl w:val="0"/>
        <w:spacing w:after="0" w:line="360" w:lineRule="auto"/>
        <w:jc w:val="both"/>
        <w:outlineLvl w:val="0"/>
        <w:rPr>
          <w:rFonts w:ascii="Arial" w:eastAsia="Arial" w:hAnsi="Arial"/>
          <w:b/>
          <w:sz w:val="20"/>
          <w:szCs w:val="20"/>
          <w:lang w:val="es-ES" w:eastAsia="es-MX"/>
        </w:rPr>
      </w:pPr>
    </w:p>
    <w:p w14:paraId="6BA9307B" w14:textId="44C2238E" w:rsidR="002B3741" w:rsidRPr="00900A73" w:rsidRDefault="009C1F1D" w:rsidP="009C1F1D">
      <w:pPr>
        <w:widowControl w:val="0"/>
        <w:spacing w:after="0" w:line="360" w:lineRule="auto"/>
        <w:jc w:val="both"/>
        <w:outlineLvl w:val="0"/>
        <w:rPr>
          <w:rFonts w:ascii="Arial" w:eastAsia="Arial" w:hAnsi="Arial"/>
          <w:b/>
          <w:sz w:val="20"/>
          <w:szCs w:val="20"/>
          <w:lang w:val="es-ES" w:eastAsia="es-MX"/>
        </w:rPr>
      </w:pPr>
      <w:r>
        <w:rPr>
          <w:rFonts w:ascii="Arial" w:eastAsia="Arial" w:hAnsi="Arial"/>
          <w:b/>
          <w:sz w:val="20"/>
          <w:szCs w:val="20"/>
          <w:lang w:val="es-ES" w:eastAsia="es-MX"/>
        </w:rPr>
        <w:t xml:space="preserve">XLIX.- </w:t>
      </w:r>
      <w:r w:rsidR="002B3741" w:rsidRPr="00900A73">
        <w:rPr>
          <w:rFonts w:ascii="Arial" w:eastAsia="Arial" w:hAnsi="Arial"/>
          <w:b/>
          <w:sz w:val="20"/>
          <w:szCs w:val="20"/>
          <w:lang w:val="es-ES" w:eastAsia="es-MX"/>
        </w:rPr>
        <w:t>LEY DE INGRESOS DEL MUNICIPIO DE TIXPÉUAL, YUCATÁN, PARA EL EJERCICIO FISCAL 202</w:t>
      </w:r>
      <w:r w:rsidR="00963374" w:rsidRPr="00900A73">
        <w:rPr>
          <w:rFonts w:ascii="Arial" w:eastAsia="Arial" w:hAnsi="Arial"/>
          <w:b/>
          <w:sz w:val="20"/>
          <w:szCs w:val="20"/>
          <w:lang w:val="es-ES" w:eastAsia="es-MX"/>
        </w:rPr>
        <w:t>5</w:t>
      </w:r>
      <w:r w:rsidR="002B3741" w:rsidRPr="00900A73">
        <w:rPr>
          <w:rFonts w:ascii="Arial" w:eastAsia="Arial" w:hAnsi="Arial"/>
          <w:b/>
          <w:sz w:val="20"/>
          <w:szCs w:val="20"/>
          <w:lang w:val="es-ES" w:eastAsia="es-MX"/>
        </w:rPr>
        <w:t>:</w:t>
      </w:r>
    </w:p>
    <w:p w14:paraId="54B5DBD0" w14:textId="77777777" w:rsidR="002B3741" w:rsidRPr="00900A73" w:rsidRDefault="002B3741" w:rsidP="00900A73">
      <w:pPr>
        <w:widowControl w:val="0"/>
        <w:spacing w:after="0" w:line="360" w:lineRule="auto"/>
        <w:jc w:val="center"/>
        <w:rPr>
          <w:rFonts w:ascii="Arial" w:eastAsia="Arial" w:hAnsi="Arial"/>
          <w:b/>
          <w:sz w:val="20"/>
          <w:szCs w:val="20"/>
          <w:lang w:val="es-ES" w:eastAsia="es-MX"/>
        </w:rPr>
      </w:pPr>
    </w:p>
    <w:p w14:paraId="5FBEA196" w14:textId="77777777" w:rsidR="002B3741" w:rsidRPr="00900A73" w:rsidRDefault="002B3741" w:rsidP="00900A73">
      <w:pPr>
        <w:widowControl w:val="0"/>
        <w:spacing w:after="0" w:line="360" w:lineRule="auto"/>
        <w:jc w:val="center"/>
        <w:rPr>
          <w:rFonts w:ascii="Arial" w:eastAsia="Arial" w:hAnsi="Arial"/>
          <w:b/>
          <w:sz w:val="20"/>
          <w:szCs w:val="20"/>
          <w:lang w:val="es-ES" w:eastAsia="es-MX"/>
        </w:rPr>
      </w:pPr>
      <w:r w:rsidRPr="00900A73">
        <w:rPr>
          <w:rFonts w:ascii="Arial" w:eastAsia="Arial" w:hAnsi="Arial"/>
          <w:b/>
          <w:sz w:val="20"/>
          <w:szCs w:val="20"/>
          <w:lang w:val="es-ES" w:eastAsia="es-MX"/>
        </w:rPr>
        <w:t xml:space="preserve">TÍTULO PRIMERO </w:t>
      </w:r>
    </w:p>
    <w:p w14:paraId="2F49EE54" w14:textId="77777777" w:rsidR="002B3741" w:rsidRPr="00900A73" w:rsidRDefault="002B3741" w:rsidP="00900A73">
      <w:pPr>
        <w:widowControl w:val="0"/>
        <w:spacing w:after="0" w:line="360" w:lineRule="auto"/>
        <w:jc w:val="center"/>
        <w:rPr>
          <w:rFonts w:ascii="Arial" w:eastAsia="Arial" w:hAnsi="Arial"/>
          <w:b/>
          <w:sz w:val="20"/>
          <w:szCs w:val="20"/>
          <w:lang w:val="es-ES" w:eastAsia="es-MX"/>
        </w:rPr>
      </w:pPr>
      <w:r w:rsidRPr="00900A73">
        <w:rPr>
          <w:rFonts w:ascii="Arial" w:eastAsia="Arial" w:hAnsi="Arial"/>
          <w:b/>
          <w:sz w:val="20"/>
          <w:szCs w:val="20"/>
          <w:lang w:val="es-ES" w:eastAsia="es-MX"/>
        </w:rPr>
        <w:t>DISPOSICIONES GENERALES</w:t>
      </w:r>
    </w:p>
    <w:p w14:paraId="4248E980" w14:textId="77777777" w:rsidR="002B3741" w:rsidRPr="00900A73" w:rsidRDefault="002B3741" w:rsidP="00900A73">
      <w:pPr>
        <w:widowControl w:val="0"/>
        <w:spacing w:after="0" w:line="360" w:lineRule="auto"/>
        <w:jc w:val="center"/>
        <w:rPr>
          <w:rFonts w:ascii="Arial" w:eastAsia="Arial" w:hAnsi="Arial"/>
          <w:b/>
          <w:sz w:val="20"/>
          <w:szCs w:val="20"/>
          <w:lang w:val="es-ES" w:eastAsia="es-MX"/>
        </w:rPr>
      </w:pPr>
    </w:p>
    <w:p w14:paraId="0232BD4E" w14:textId="77777777" w:rsidR="002B3741" w:rsidRPr="00900A73" w:rsidRDefault="002B3741" w:rsidP="00900A73">
      <w:pPr>
        <w:widowControl w:val="0"/>
        <w:spacing w:after="0" w:line="360" w:lineRule="auto"/>
        <w:jc w:val="center"/>
        <w:outlineLvl w:val="0"/>
        <w:rPr>
          <w:rFonts w:ascii="Arial" w:eastAsia="Arial" w:hAnsi="Arial"/>
          <w:b/>
          <w:sz w:val="20"/>
          <w:szCs w:val="20"/>
          <w:lang w:val="es-ES" w:eastAsia="es-MX"/>
        </w:rPr>
      </w:pPr>
      <w:r w:rsidRPr="00900A73">
        <w:rPr>
          <w:rFonts w:ascii="Arial" w:eastAsia="Arial" w:hAnsi="Arial"/>
          <w:b/>
          <w:sz w:val="20"/>
          <w:szCs w:val="20"/>
          <w:lang w:val="es-ES" w:eastAsia="es-MX"/>
        </w:rPr>
        <w:t>CAPÍTULO I</w:t>
      </w:r>
    </w:p>
    <w:p w14:paraId="6F94F8BA" w14:textId="77777777" w:rsidR="002B3741" w:rsidRPr="00900A73" w:rsidRDefault="002B3741" w:rsidP="00900A73">
      <w:pPr>
        <w:widowControl w:val="0"/>
        <w:spacing w:after="0" w:line="360" w:lineRule="auto"/>
        <w:jc w:val="center"/>
        <w:rPr>
          <w:rFonts w:ascii="Arial" w:eastAsia="Arial" w:hAnsi="Arial"/>
          <w:b/>
          <w:sz w:val="20"/>
          <w:szCs w:val="20"/>
          <w:lang w:val="es-ES" w:eastAsia="es-MX"/>
        </w:rPr>
      </w:pPr>
      <w:r w:rsidRPr="00900A73">
        <w:rPr>
          <w:rFonts w:ascii="Arial" w:eastAsia="Arial" w:hAnsi="Arial"/>
          <w:b/>
          <w:sz w:val="20"/>
          <w:szCs w:val="20"/>
          <w:lang w:val="es-ES" w:eastAsia="es-MX"/>
        </w:rPr>
        <w:t>De la Naturaleza y el Objeto de la Ley</w:t>
      </w:r>
    </w:p>
    <w:p w14:paraId="4116FBE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29CA6891" w14:textId="5A99F2C5"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 </w:t>
      </w:r>
      <w:r w:rsidRPr="00900A73">
        <w:rPr>
          <w:rFonts w:ascii="Arial" w:eastAsia="Arial" w:hAnsi="Arial"/>
          <w:color w:val="000000"/>
          <w:sz w:val="20"/>
          <w:szCs w:val="20"/>
          <w:lang w:val="es-ES" w:eastAsia="es-MX"/>
        </w:rPr>
        <w:t xml:space="preserve">La presente Ley es de orden público y de interés social, y tiene por objeto establecer los ingresos que percibirá la Hacienda Pública del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a través de su Tesorería Municipal, durante el ejercicio fiscal del año 202</w:t>
      </w:r>
      <w:r w:rsidR="00963374" w:rsidRPr="00900A73">
        <w:rPr>
          <w:rFonts w:ascii="Arial" w:eastAsia="Arial" w:hAnsi="Arial"/>
          <w:color w:val="000000"/>
          <w:sz w:val="20"/>
          <w:szCs w:val="20"/>
          <w:lang w:val="es-ES" w:eastAsia="es-MX"/>
        </w:rPr>
        <w:t>5</w:t>
      </w:r>
      <w:r w:rsidRPr="00900A73">
        <w:rPr>
          <w:rFonts w:ascii="Arial" w:eastAsia="Arial" w:hAnsi="Arial"/>
          <w:color w:val="000000"/>
          <w:sz w:val="20"/>
          <w:szCs w:val="20"/>
          <w:lang w:val="es-ES" w:eastAsia="es-MX"/>
        </w:rPr>
        <w:t>.</w:t>
      </w:r>
    </w:p>
    <w:p w14:paraId="551A5D7D"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F8163F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2.- </w:t>
      </w:r>
      <w:r w:rsidRPr="00900A73">
        <w:rPr>
          <w:rFonts w:ascii="Arial" w:eastAsia="Arial" w:hAnsi="Arial"/>
          <w:color w:val="000000"/>
          <w:sz w:val="20"/>
          <w:szCs w:val="20"/>
          <w:lang w:val="es-ES" w:eastAsia="es-MX"/>
        </w:rPr>
        <w:t xml:space="preserve">Las personas domiciliadas dentro del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xml:space="preserve">, Yucatán que tuvieren bienes en su territorio o celebren actos que surtan efectos en el mismo, están obligados a contribuir para los gastos públicos de la manera que disponga la presente Ley, la Ley de Hacienda del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el Código Fiscal del Estado de Yucatán y los demás ordenamientos fiscales de carácter municipal, estatal y federal.</w:t>
      </w:r>
    </w:p>
    <w:p w14:paraId="51E4051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3A43CF7"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3.- </w:t>
      </w:r>
      <w:r w:rsidRPr="00900A73">
        <w:rPr>
          <w:rFonts w:ascii="Arial" w:eastAsia="Arial" w:hAnsi="Arial"/>
          <w:color w:val="000000"/>
          <w:sz w:val="20"/>
          <w:szCs w:val="20"/>
          <w:lang w:val="es-ES" w:eastAsia="es-MX"/>
        </w:rPr>
        <w:t xml:space="preserve">Los ingresos que se recauden por los conceptos señalados en la presente Ley, se destinarán a sufragar los gastos públicos establecidos y autorizados en el Presupuesto de Egresos del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así como en lo dispuesto en los convenios de coordinación fiscal y en las Leyes en que se fundamenten.</w:t>
      </w:r>
    </w:p>
    <w:p w14:paraId="3EC3A201" w14:textId="77777777" w:rsidR="002B3741" w:rsidRPr="00900A73" w:rsidRDefault="002B3741" w:rsidP="00900A73">
      <w:pPr>
        <w:widowControl w:val="0"/>
        <w:spacing w:after="0" w:line="360" w:lineRule="auto"/>
        <w:jc w:val="center"/>
        <w:outlineLvl w:val="0"/>
        <w:rPr>
          <w:rFonts w:ascii="Arial" w:eastAsia="Arial" w:hAnsi="Arial"/>
          <w:b/>
          <w:sz w:val="20"/>
          <w:szCs w:val="20"/>
          <w:lang w:val="es-ES" w:eastAsia="es-MX"/>
        </w:rPr>
      </w:pPr>
    </w:p>
    <w:p w14:paraId="722AC4C5" w14:textId="77777777" w:rsidR="002B3741" w:rsidRPr="00900A73" w:rsidRDefault="002B3741" w:rsidP="00900A73">
      <w:pPr>
        <w:widowControl w:val="0"/>
        <w:tabs>
          <w:tab w:val="center" w:pos="4560"/>
          <w:tab w:val="left" w:pos="6840"/>
        </w:tabs>
        <w:spacing w:after="0" w:line="360" w:lineRule="auto"/>
        <w:jc w:val="center"/>
        <w:outlineLvl w:val="0"/>
        <w:rPr>
          <w:rFonts w:ascii="Arial" w:eastAsia="Arial" w:hAnsi="Arial"/>
          <w:b/>
          <w:sz w:val="20"/>
          <w:szCs w:val="20"/>
          <w:lang w:val="es-ES" w:eastAsia="es-MX"/>
        </w:rPr>
      </w:pPr>
      <w:r w:rsidRPr="00900A73">
        <w:rPr>
          <w:rFonts w:ascii="Arial" w:eastAsia="Arial" w:hAnsi="Arial"/>
          <w:b/>
          <w:sz w:val="20"/>
          <w:szCs w:val="20"/>
          <w:lang w:val="es-ES" w:eastAsia="es-MX"/>
        </w:rPr>
        <w:t>CAPÍTULO II</w:t>
      </w:r>
    </w:p>
    <w:p w14:paraId="6DCBB38C" w14:textId="77777777" w:rsidR="002B3741" w:rsidRPr="00900A73" w:rsidRDefault="002B3741" w:rsidP="00900A73">
      <w:pPr>
        <w:widowControl w:val="0"/>
        <w:spacing w:after="0" w:line="360" w:lineRule="auto"/>
        <w:jc w:val="center"/>
        <w:rPr>
          <w:rFonts w:ascii="Arial" w:eastAsia="Arial" w:hAnsi="Arial"/>
          <w:b/>
          <w:sz w:val="20"/>
          <w:szCs w:val="20"/>
          <w:lang w:val="es-ES" w:eastAsia="es-MX"/>
        </w:rPr>
      </w:pPr>
      <w:r w:rsidRPr="00900A73">
        <w:rPr>
          <w:rFonts w:ascii="Arial" w:eastAsia="Arial" w:hAnsi="Arial"/>
          <w:b/>
          <w:sz w:val="20"/>
          <w:szCs w:val="20"/>
          <w:lang w:val="es-ES" w:eastAsia="es-MX"/>
        </w:rPr>
        <w:t>De los Conceptos de Ingresos y su Pronóstico</w:t>
      </w:r>
    </w:p>
    <w:p w14:paraId="3AB3F6F9" w14:textId="77777777" w:rsidR="002B3741" w:rsidRPr="00900A73" w:rsidRDefault="002B3741" w:rsidP="00900A73">
      <w:pPr>
        <w:widowControl w:val="0"/>
        <w:spacing w:after="0" w:line="360" w:lineRule="auto"/>
        <w:jc w:val="both"/>
        <w:rPr>
          <w:rFonts w:ascii="Arial" w:eastAsia="Arial" w:hAnsi="Arial"/>
          <w:b/>
          <w:sz w:val="20"/>
          <w:szCs w:val="20"/>
          <w:lang w:val="es-ES" w:eastAsia="es-MX"/>
        </w:rPr>
      </w:pPr>
    </w:p>
    <w:p w14:paraId="251684B4"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4.- </w:t>
      </w:r>
      <w:r w:rsidRPr="00900A73">
        <w:rPr>
          <w:rFonts w:ascii="Arial" w:eastAsia="Arial" w:hAnsi="Arial"/>
          <w:color w:val="000000"/>
          <w:sz w:val="20"/>
          <w:szCs w:val="20"/>
          <w:lang w:val="es-ES" w:eastAsia="es-MX"/>
        </w:rPr>
        <w:t xml:space="preserve">Los conceptos por los que la Hacienda Pública del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percibirá ingresos, serán los siguientes:</w:t>
      </w:r>
    </w:p>
    <w:p w14:paraId="6BEDA37D"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16A5D1CC" w14:textId="77777777" w:rsidR="002B3741" w:rsidRPr="00900A73" w:rsidRDefault="002B3741" w:rsidP="00900A7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900A73">
        <w:rPr>
          <w:rFonts w:ascii="Arial" w:eastAsia="Arial" w:hAnsi="Arial"/>
          <w:sz w:val="20"/>
          <w:szCs w:val="20"/>
          <w:lang w:val="es-ES" w:eastAsia="es-MX"/>
        </w:rPr>
        <w:t>Impuestos;</w:t>
      </w:r>
    </w:p>
    <w:p w14:paraId="726E3B6D" w14:textId="77777777" w:rsidR="002B3741" w:rsidRPr="00900A73" w:rsidRDefault="002B3741" w:rsidP="00900A7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900A73">
        <w:rPr>
          <w:rFonts w:ascii="Arial" w:eastAsia="Arial" w:hAnsi="Arial"/>
          <w:color w:val="000000"/>
          <w:sz w:val="20"/>
          <w:szCs w:val="20"/>
          <w:lang w:val="es-ES" w:eastAsia="es-MX"/>
        </w:rPr>
        <w:t>Contribuciones de Mejoras</w:t>
      </w:r>
      <w:r w:rsidRPr="00900A73">
        <w:rPr>
          <w:rFonts w:ascii="Arial" w:eastAsia="Arial" w:hAnsi="Arial"/>
          <w:sz w:val="20"/>
          <w:szCs w:val="20"/>
          <w:lang w:val="es-ES" w:eastAsia="es-MX"/>
        </w:rPr>
        <w:t>;</w:t>
      </w:r>
    </w:p>
    <w:p w14:paraId="09EAA6E8" w14:textId="77777777" w:rsidR="002B3741" w:rsidRPr="00900A73" w:rsidRDefault="002B3741" w:rsidP="00900A7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900A73">
        <w:rPr>
          <w:rFonts w:ascii="Arial" w:eastAsia="Arial" w:hAnsi="Arial"/>
          <w:sz w:val="20"/>
          <w:szCs w:val="20"/>
          <w:lang w:val="es-ES" w:eastAsia="es-MX"/>
        </w:rPr>
        <w:t>Derechos;</w:t>
      </w:r>
    </w:p>
    <w:p w14:paraId="0A11D1C0" w14:textId="77777777" w:rsidR="002B3741" w:rsidRPr="00900A73" w:rsidRDefault="002B3741" w:rsidP="00900A7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900A73">
        <w:rPr>
          <w:rFonts w:ascii="Arial" w:eastAsia="Arial" w:hAnsi="Arial"/>
          <w:sz w:val="20"/>
          <w:szCs w:val="20"/>
          <w:lang w:val="es-ES" w:eastAsia="es-MX"/>
        </w:rPr>
        <w:t>Productos;</w:t>
      </w:r>
    </w:p>
    <w:p w14:paraId="68A86074" w14:textId="77777777" w:rsidR="002B3741" w:rsidRPr="00900A73" w:rsidRDefault="002B3741" w:rsidP="00900A7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Aprovechamientos;</w:t>
      </w:r>
    </w:p>
    <w:p w14:paraId="1E893AB4" w14:textId="77777777" w:rsidR="002B3741" w:rsidRPr="00900A73" w:rsidRDefault="002B3741" w:rsidP="00900A73">
      <w:pPr>
        <w:widowControl w:val="0"/>
        <w:numPr>
          <w:ilvl w:val="0"/>
          <w:numId w:val="24"/>
        </w:numPr>
        <w:pBdr>
          <w:top w:val="nil"/>
          <w:left w:val="nil"/>
          <w:bottom w:val="nil"/>
          <w:right w:val="nil"/>
          <w:between w:val="nil"/>
        </w:pBdr>
        <w:spacing w:after="0" w:line="360" w:lineRule="auto"/>
        <w:ind w:left="0" w:firstLine="0"/>
        <w:contextualSpacing/>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Ingresos por Venta de Bienes, Prestación de Servicios y Otros Ingresos;</w:t>
      </w:r>
    </w:p>
    <w:p w14:paraId="119DC8D6" w14:textId="77777777" w:rsidR="002B3741" w:rsidRPr="00900A73" w:rsidRDefault="002B3741" w:rsidP="00900A7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900A73">
        <w:rPr>
          <w:rFonts w:ascii="Arial" w:eastAsia="Arial" w:hAnsi="Arial"/>
          <w:sz w:val="20"/>
          <w:szCs w:val="20"/>
          <w:lang w:val="es-ES" w:eastAsia="es-MX"/>
        </w:rPr>
        <w:t xml:space="preserve">Participaciones, Aportaciones, Convenios, Incentivos Derivados de la Colaboración Fiscal y Fondos Distintos de Aportaciones; </w:t>
      </w:r>
    </w:p>
    <w:p w14:paraId="6D2E6B1E" w14:textId="77777777" w:rsidR="002B3741" w:rsidRPr="00900A73" w:rsidRDefault="002B3741" w:rsidP="00900A7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900A73">
        <w:rPr>
          <w:rFonts w:ascii="Arial" w:eastAsia="Arial" w:hAnsi="Arial"/>
          <w:sz w:val="20"/>
          <w:szCs w:val="20"/>
          <w:lang w:val="es-ES" w:eastAsia="es-MX"/>
        </w:rPr>
        <w:t>Transferencias, Asignaciones, Subsidios y Subvenciones, y</w:t>
      </w:r>
    </w:p>
    <w:p w14:paraId="28D052A3" w14:textId="77777777" w:rsidR="002B3741" w:rsidRPr="00900A73" w:rsidRDefault="002B3741" w:rsidP="00900A73">
      <w:pPr>
        <w:widowControl w:val="0"/>
        <w:numPr>
          <w:ilvl w:val="0"/>
          <w:numId w:val="24"/>
        </w:numPr>
        <w:spacing w:after="0" w:line="360" w:lineRule="auto"/>
        <w:ind w:left="0" w:firstLine="0"/>
        <w:contextualSpacing/>
        <w:jc w:val="both"/>
        <w:rPr>
          <w:rFonts w:ascii="Arial" w:eastAsia="Arial" w:hAnsi="Arial"/>
          <w:sz w:val="20"/>
          <w:szCs w:val="20"/>
          <w:lang w:val="es-ES" w:eastAsia="es-MX"/>
        </w:rPr>
      </w:pPr>
      <w:r w:rsidRPr="00900A73">
        <w:rPr>
          <w:rFonts w:ascii="Arial" w:eastAsia="Arial" w:hAnsi="Arial"/>
          <w:sz w:val="20"/>
          <w:szCs w:val="20"/>
          <w:lang w:val="es-ES" w:eastAsia="es-MX"/>
        </w:rPr>
        <w:t>Ingresos Derivados de Financiamientos.</w:t>
      </w:r>
    </w:p>
    <w:p w14:paraId="5AFF110D" w14:textId="77777777" w:rsidR="002B3741" w:rsidRPr="00900A73" w:rsidRDefault="002B3741" w:rsidP="00900A73">
      <w:pPr>
        <w:widowControl w:val="0"/>
        <w:spacing w:after="0" w:line="360" w:lineRule="auto"/>
        <w:jc w:val="both"/>
        <w:rPr>
          <w:rFonts w:ascii="Arial" w:eastAsia="Arial" w:hAnsi="Arial"/>
          <w:sz w:val="20"/>
          <w:szCs w:val="20"/>
          <w:lang w:val="es-ES" w:eastAsia="es-MX"/>
        </w:rPr>
      </w:pPr>
    </w:p>
    <w:p w14:paraId="063E17C3"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5.- </w:t>
      </w:r>
      <w:r w:rsidRPr="00900A73">
        <w:rPr>
          <w:rFonts w:ascii="Arial" w:eastAsia="Arial" w:hAnsi="Arial"/>
          <w:color w:val="000000"/>
          <w:sz w:val="20"/>
          <w:szCs w:val="20"/>
          <w:lang w:val="es-ES" w:eastAsia="es-MX"/>
        </w:rPr>
        <w:t xml:space="preserve">Los impuestos que 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percibirá, se clasifican como sigue:</w:t>
      </w:r>
    </w:p>
    <w:p w14:paraId="172246D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2B3741" w:rsidRPr="00900A73" w14:paraId="118906F8" w14:textId="77777777" w:rsidTr="00866779">
        <w:tc>
          <w:tcPr>
            <w:tcW w:w="3809" w:type="pct"/>
            <w:shd w:val="clear" w:color="auto" w:fill="D9D9D9"/>
          </w:tcPr>
          <w:p w14:paraId="190580E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Impuestos</w:t>
            </w:r>
          </w:p>
        </w:tc>
        <w:tc>
          <w:tcPr>
            <w:tcW w:w="1191" w:type="pct"/>
            <w:shd w:val="clear" w:color="auto" w:fill="D9D9D9"/>
          </w:tcPr>
          <w:p w14:paraId="032DDD22" w14:textId="5D5AA608"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6</w:t>
            </w:r>
            <w:r w:rsidR="006B6141" w:rsidRPr="00900A73">
              <w:rPr>
                <w:rFonts w:ascii="Arial" w:eastAsia="Arial" w:hAnsi="Arial"/>
                <w:b/>
                <w:color w:val="000000"/>
                <w:sz w:val="20"/>
                <w:szCs w:val="20"/>
                <w:lang w:val="es-ES" w:eastAsia="es-MX"/>
              </w:rPr>
              <w:t>27,910.</w:t>
            </w:r>
            <w:r w:rsidRPr="00900A73">
              <w:rPr>
                <w:rFonts w:ascii="Arial" w:eastAsia="Arial" w:hAnsi="Arial"/>
                <w:b/>
                <w:color w:val="000000"/>
                <w:sz w:val="20"/>
                <w:szCs w:val="20"/>
                <w:lang w:val="es-ES" w:eastAsia="es-MX"/>
              </w:rPr>
              <w:t>00</w:t>
            </w:r>
          </w:p>
        </w:tc>
      </w:tr>
      <w:tr w:rsidR="002B3741" w:rsidRPr="00900A73" w14:paraId="0228C688" w14:textId="77777777" w:rsidTr="00866779">
        <w:tc>
          <w:tcPr>
            <w:tcW w:w="3809" w:type="pct"/>
          </w:tcPr>
          <w:p w14:paraId="50DD129D"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Impuestos Sobre los Ingresos</w:t>
            </w:r>
          </w:p>
        </w:tc>
        <w:tc>
          <w:tcPr>
            <w:tcW w:w="1191" w:type="pct"/>
          </w:tcPr>
          <w:p w14:paraId="4C1FFC8F"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r w:rsidR="002B3741" w:rsidRPr="00900A73" w14:paraId="0629D1BD" w14:textId="77777777" w:rsidTr="00866779">
        <w:tc>
          <w:tcPr>
            <w:tcW w:w="3809" w:type="pct"/>
          </w:tcPr>
          <w:p w14:paraId="7154F4F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Impuesto sobre Espectáculos y Diversiones Públicas</w:t>
            </w:r>
          </w:p>
        </w:tc>
        <w:tc>
          <w:tcPr>
            <w:tcW w:w="1191" w:type="pct"/>
          </w:tcPr>
          <w:p w14:paraId="6345C1D4"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6C4D7A15" w14:textId="77777777" w:rsidTr="00866779">
        <w:tc>
          <w:tcPr>
            <w:tcW w:w="3809" w:type="pct"/>
          </w:tcPr>
          <w:p w14:paraId="0D5FEC7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Impuestos Sobre el Patrimonio</w:t>
            </w:r>
          </w:p>
        </w:tc>
        <w:tc>
          <w:tcPr>
            <w:tcW w:w="1191" w:type="pct"/>
          </w:tcPr>
          <w:p w14:paraId="33FF82E6" w14:textId="0469AEB8"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291,167</w:t>
            </w:r>
            <w:r w:rsidRPr="00900A73">
              <w:rPr>
                <w:rFonts w:ascii="Arial" w:eastAsia="Arial" w:hAnsi="Arial"/>
                <w:b/>
                <w:color w:val="000000"/>
                <w:sz w:val="20"/>
                <w:szCs w:val="20"/>
                <w:lang w:val="es-ES" w:eastAsia="es-MX"/>
              </w:rPr>
              <w:t>.00</w:t>
            </w:r>
          </w:p>
        </w:tc>
      </w:tr>
      <w:tr w:rsidR="002B3741" w:rsidRPr="00900A73" w14:paraId="2EFD5DAE" w14:textId="77777777" w:rsidTr="00866779">
        <w:tc>
          <w:tcPr>
            <w:tcW w:w="3809" w:type="pct"/>
          </w:tcPr>
          <w:p w14:paraId="7351713C"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Impuesto Predial</w:t>
            </w:r>
          </w:p>
        </w:tc>
        <w:tc>
          <w:tcPr>
            <w:tcW w:w="1191" w:type="pct"/>
          </w:tcPr>
          <w:p w14:paraId="16720382" w14:textId="46B1A32E"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2</w:t>
            </w:r>
            <w:r w:rsidR="006B6141" w:rsidRPr="00900A73">
              <w:rPr>
                <w:rFonts w:ascii="Arial" w:eastAsia="Arial" w:hAnsi="Arial"/>
                <w:color w:val="000000"/>
                <w:sz w:val="20"/>
                <w:szCs w:val="20"/>
                <w:lang w:val="es-ES" w:eastAsia="es-MX"/>
              </w:rPr>
              <w:t>91,167</w:t>
            </w:r>
            <w:r w:rsidRPr="00900A73">
              <w:rPr>
                <w:rFonts w:ascii="Arial" w:eastAsia="Arial" w:hAnsi="Arial"/>
                <w:color w:val="000000"/>
                <w:sz w:val="20"/>
                <w:szCs w:val="20"/>
                <w:lang w:val="es-ES" w:eastAsia="es-MX"/>
              </w:rPr>
              <w:t>.00</w:t>
            </w:r>
          </w:p>
        </w:tc>
      </w:tr>
      <w:tr w:rsidR="002B3741" w:rsidRPr="00900A73" w14:paraId="22547901" w14:textId="77777777" w:rsidTr="00866779">
        <w:tc>
          <w:tcPr>
            <w:tcW w:w="3809" w:type="pct"/>
          </w:tcPr>
          <w:p w14:paraId="48FFB2A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Impuestos sobre la Producción, el Consumo y las Transacciones</w:t>
            </w:r>
          </w:p>
        </w:tc>
        <w:tc>
          <w:tcPr>
            <w:tcW w:w="1191" w:type="pct"/>
          </w:tcPr>
          <w:p w14:paraId="14768838" w14:textId="430D60D1"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3</w:t>
            </w:r>
            <w:r w:rsidR="006B6141" w:rsidRPr="00900A73">
              <w:rPr>
                <w:rFonts w:ascii="Arial" w:eastAsia="Arial" w:hAnsi="Arial"/>
                <w:b/>
                <w:color w:val="000000"/>
                <w:sz w:val="20"/>
                <w:szCs w:val="20"/>
                <w:lang w:val="es-ES" w:eastAsia="es-MX"/>
              </w:rPr>
              <w:t>3</w:t>
            </w:r>
            <w:r w:rsidRPr="00900A73">
              <w:rPr>
                <w:rFonts w:ascii="Arial" w:eastAsia="Arial" w:hAnsi="Arial"/>
                <w:b/>
                <w:color w:val="000000"/>
                <w:sz w:val="20"/>
                <w:szCs w:val="20"/>
                <w:lang w:val="es-ES" w:eastAsia="es-MX"/>
              </w:rPr>
              <w:t>6,</w:t>
            </w:r>
            <w:r w:rsidR="006B6141" w:rsidRPr="00900A73">
              <w:rPr>
                <w:rFonts w:ascii="Arial" w:eastAsia="Arial" w:hAnsi="Arial"/>
                <w:b/>
                <w:color w:val="000000"/>
                <w:sz w:val="20"/>
                <w:szCs w:val="20"/>
                <w:lang w:val="es-ES" w:eastAsia="es-MX"/>
              </w:rPr>
              <w:t>743</w:t>
            </w:r>
            <w:r w:rsidRPr="00900A73">
              <w:rPr>
                <w:rFonts w:ascii="Arial" w:eastAsia="Arial" w:hAnsi="Arial"/>
                <w:b/>
                <w:color w:val="000000"/>
                <w:sz w:val="20"/>
                <w:szCs w:val="20"/>
                <w:lang w:val="es-ES" w:eastAsia="es-MX"/>
              </w:rPr>
              <w:t>.00</w:t>
            </w:r>
          </w:p>
        </w:tc>
      </w:tr>
      <w:tr w:rsidR="002B3741" w:rsidRPr="00900A73" w14:paraId="0BA54841" w14:textId="77777777" w:rsidTr="00866779">
        <w:tc>
          <w:tcPr>
            <w:tcW w:w="3809" w:type="pct"/>
          </w:tcPr>
          <w:p w14:paraId="1DB2D8BB"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Impuesto sobre Adquisición de Inmuebles</w:t>
            </w:r>
          </w:p>
        </w:tc>
        <w:tc>
          <w:tcPr>
            <w:tcW w:w="1191" w:type="pct"/>
          </w:tcPr>
          <w:p w14:paraId="71314EB4" w14:textId="101AB18E"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3</w:t>
            </w:r>
            <w:r w:rsidR="006B6141" w:rsidRPr="00900A73">
              <w:rPr>
                <w:rFonts w:ascii="Arial" w:eastAsia="Arial" w:hAnsi="Arial"/>
                <w:color w:val="000000"/>
                <w:sz w:val="20"/>
                <w:szCs w:val="20"/>
                <w:lang w:val="es-ES" w:eastAsia="es-MX"/>
              </w:rPr>
              <w:t>3</w:t>
            </w:r>
            <w:r w:rsidRPr="00900A73">
              <w:rPr>
                <w:rFonts w:ascii="Arial" w:eastAsia="Arial" w:hAnsi="Arial"/>
                <w:color w:val="000000"/>
                <w:sz w:val="20"/>
                <w:szCs w:val="20"/>
                <w:lang w:val="es-ES" w:eastAsia="es-MX"/>
              </w:rPr>
              <w:t>6,</w:t>
            </w:r>
            <w:r w:rsidR="006B6141" w:rsidRPr="00900A73">
              <w:rPr>
                <w:rFonts w:ascii="Arial" w:eastAsia="Arial" w:hAnsi="Arial"/>
                <w:color w:val="000000"/>
                <w:sz w:val="20"/>
                <w:szCs w:val="20"/>
                <w:lang w:val="es-ES" w:eastAsia="es-MX"/>
              </w:rPr>
              <w:t>743</w:t>
            </w:r>
            <w:r w:rsidRPr="00900A73">
              <w:rPr>
                <w:rFonts w:ascii="Arial" w:eastAsia="Arial" w:hAnsi="Arial"/>
                <w:color w:val="000000"/>
                <w:sz w:val="20"/>
                <w:szCs w:val="20"/>
                <w:lang w:val="es-ES" w:eastAsia="es-MX"/>
              </w:rPr>
              <w:t>.00</w:t>
            </w:r>
          </w:p>
        </w:tc>
      </w:tr>
      <w:tr w:rsidR="002B3741" w:rsidRPr="00900A73" w14:paraId="1BEE3F97" w14:textId="77777777" w:rsidTr="00866779">
        <w:tc>
          <w:tcPr>
            <w:tcW w:w="3809" w:type="pct"/>
          </w:tcPr>
          <w:p w14:paraId="5ED198A3"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lastRenderedPageBreak/>
              <w:t>Accesorios de Impuestos</w:t>
            </w:r>
          </w:p>
        </w:tc>
        <w:tc>
          <w:tcPr>
            <w:tcW w:w="1191" w:type="pct"/>
          </w:tcPr>
          <w:p w14:paraId="29D999CE"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r w:rsidR="002B3741" w:rsidRPr="00900A73" w14:paraId="441001DC" w14:textId="77777777" w:rsidTr="00866779">
        <w:tc>
          <w:tcPr>
            <w:tcW w:w="3809" w:type="pct"/>
          </w:tcPr>
          <w:p w14:paraId="1E0A4FD6"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Actualizaciones y Recargos de Impuestos</w:t>
            </w:r>
          </w:p>
        </w:tc>
        <w:tc>
          <w:tcPr>
            <w:tcW w:w="1191" w:type="pct"/>
          </w:tcPr>
          <w:p w14:paraId="0CA57F44"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58D9111A" w14:textId="77777777" w:rsidTr="00866779">
        <w:tc>
          <w:tcPr>
            <w:tcW w:w="3809" w:type="pct"/>
          </w:tcPr>
          <w:p w14:paraId="35242A9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Multas de Impuestos</w:t>
            </w:r>
          </w:p>
        </w:tc>
        <w:tc>
          <w:tcPr>
            <w:tcW w:w="1191" w:type="pct"/>
          </w:tcPr>
          <w:p w14:paraId="4781C7C1"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175DD0C6" w14:textId="77777777" w:rsidTr="00866779">
        <w:tc>
          <w:tcPr>
            <w:tcW w:w="3809" w:type="pct"/>
          </w:tcPr>
          <w:p w14:paraId="1A71F20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Gastos de Ejecución de Impuestos</w:t>
            </w:r>
          </w:p>
        </w:tc>
        <w:tc>
          <w:tcPr>
            <w:tcW w:w="1191" w:type="pct"/>
          </w:tcPr>
          <w:p w14:paraId="205FD43C"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6BB97061" w14:textId="77777777" w:rsidTr="00866779">
        <w:tc>
          <w:tcPr>
            <w:tcW w:w="3809" w:type="pct"/>
          </w:tcPr>
          <w:p w14:paraId="051F00A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Otros Impuestos</w:t>
            </w:r>
          </w:p>
        </w:tc>
        <w:tc>
          <w:tcPr>
            <w:tcW w:w="1191" w:type="pct"/>
          </w:tcPr>
          <w:p w14:paraId="11685CB6"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r w:rsidR="002B3741" w:rsidRPr="00900A73" w14:paraId="009660B6" w14:textId="77777777" w:rsidTr="00866779">
        <w:tc>
          <w:tcPr>
            <w:tcW w:w="3809" w:type="pct"/>
          </w:tcPr>
          <w:p w14:paraId="4419374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Impuestos no Comprendidos en la Ley de Ingresos Vigente, Causados en Ejercicios Fiscales Anteriores Pendientes de Liquidación o Pago</w:t>
            </w:r>
          </w:p>
        </w:tc>
        <w:tc>
          <w:tcPr>
            <w:tcW w:w="1191" w:type="pct"/>
          </w:tcPr>
          <w:p w14:paraId="166A19A0"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b/>
                <w:color w:val="000000"/>
                <w:sz w:val="20"/>
                <w:szCs w:val="20"/>
                <w:lang w:val="es-ES" w:eastAsia="es-MX"/>
              </w:rPr>
            </w:pPr>
          </w:p>
          <w:p w14:paraId="7F65D481" w14:textId="77777777" w:rsidR="002B3741" w:rsidRPr="00900A73" w:rsidRDefault="002B3741" w:rsidP="00900A73">
            <w:pPr>
              <w:widowControl w:val="0"/>
              <w:pBdr>
                <w:top w:val="nil"/>
                <w:left w:val="nil"/>
                <w:bottom w:val="nil"/>
                <w:right w:val="nil"/>
                <w:between w:val="nil"/>
              </w:pBdr>
              <w:tabs>
                <w:tab w:val="left" w:pos="722"/>
              </w:tabs>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bl>
    <w:p w14:paraId="2408E5BC"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046218F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6.- </w:t>
      </w:r>
      <w:r w:rsidRPr="00900A73">
        <w:rPr>
          <w:rFonts w:ascii="Arial" w:eastAsia="Arial" w:hAnsi="Arial"/>
          <w:color w:val="000000"/>
          <w:sz w:val="20"/>
          <w:szCs w:val="20"/>
          <w:lang w:val="es-ES" w:eastAsia="es-MX"/>
        </w:rPr>
        <w:t>Las contribuciones de mejoras que la Hacienda Pública Municipal tiene derecho de percibir, serán las siguientes:</w:t>
      </w:r>
    </w:p>
    <w:p w14:paraId="4263AB0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48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126"/>
      </w:tblGrid>
      <w:tr w:rsidR="002B3741" w:rsidRPr="00900A73" w14:paraId="41A004C2" w14:textId="77777777" w:rsidTr="002B3741">
        <w:trPr>
          <w:trHeight w:val="20"/>
        </w:trPr>
        <w:tc>
          <w:tcPr>
            <w:tcW w:w="3809" w:type="pct"/>
            <w:shd w:val="clear" w:color="auto" w:fill="D9D9D9"/>
          </w:tcPr>
          <w:p w14:paraId="04A4389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Contribuciones de Mejoras</w:t>
            </w:r>
          </w:p>
        </w:tc>
        <w:tc>
          <w:tcPr>
            <w:tcW w:w="1191" w:type="pct"/>
            <w:shd w:val="clear" w:color="auto" w:fill="D9D9D9"/>
          </w:tcPr>
          <w:p w14:paraId="2B1AE3C0" w14:textId="3A5D5DBC"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24,314</w:t>
            </w:r>
            <w:r w:rsidRPr="00900A73">
              <w:rPr>
                <w:rFonts w:ascii="Arial" w:eastAsia="Arial" w:hAnsi="Arial"/>
                <w:b/>
                <w:color w:val="000000"/>
                <w:sz w:val="20"/>
                <w:szCs w:val="20"/>
                <w:lang w:val="es-ES" w:eastAsia="es-MX"/>
              </w:rPr>
              <w:t>.00</w:t>
            </w:r>
          </w:p>
        </w:tc>
      </w:tr>
      <w:tr w:rsidR="002B3741" w:rsidRPr="00900A73" w14:paraId="5176144A" w14:textId="77777777" w:rsidTr="002B3741">
        <w:trPr>
          <w:trHeight w:val="20"/>
        </w:trPr>
        <w:tc>
          <w:tcPr>
            <w:tcW w:w="3809" w:type="pct"/>
          </w:tcPr>
          <w:p w14:paraId="32E34F4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Contribución de Mejoras por Obras Públicas</w:t>
            </w:r>
          </w:p>
        </w:tc>
        <w:tc>
          <w:tcPr>
            <w:tcW w:w="1191" w:type="pct"/>
          </w:tcPr>
          <w:p w14:paraId="55665274" w14:textId="1F92806A"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24,314</w:t>
            </w:r>
            <w:r w:rsidRPr="00900A73">
              <w:rPr>
                <w:rFonts w:ascii="Arial" w:eastAsia="Arial" w:hAnsi="Arial"/>
                <w:b/>
                <w:color w:val="000000"/>
                <w:sz w:val="20"/>
                <w:szCs w:val="20"/>
                <w:lang w:val="es-ES" w:eastAsia="es-MX"/>
              </w:rPr>
              <w:t>.00</w:t>
            </w:r>
          </w:p>
        </w:tc>
      </w:tr>
      <w:tr w:rsidR="002B3741" w:rsidRPr="00900A73" w14:paraId="49F8483B" w14:textId="77777777" w:rsidTr="002B3741">
        <w:trPr>
          <w:trHeight w:val="20"/>
        </w:trPr>
        <w:tc>
          <w:tcPr>
            <w:tcW w:w="3809" w:type="pct"/>
          </w:tcPr>
          <w:p w14:paraId="39F5472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Contribuciones de mejoras por obras públicas</w:t>
            </w:r>
          </w:p>
        </w:tc>
        <w:tc>
          <w:tcPr>
            <w:tcW w:w="1191" w:type="pct"/>
          </w:tcPr>
          <w:p w14:paraId="11B78F11" w14:textId="766A4EA6"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12,157</w:t>
            </w:r>
            <w:r w:rsidRPr="00900A73">
              <w:rPr>
                <w:rFonts w:ascii="Arial" w:eastAsia="Arial" w:hAnsi="Arial"/>
                <w:color w:val="000000"/>
                <w:sz w:val="20"/>
                <w:szCs w:val="20"/>
                <w:lang w:val="es-ES" w:eastAsia="es-MX"/>
              </w:rPr>
              <w:t>.00</w:t>
            </w:r>
          </w:p>
        </w:tc>
      </w:tr>
      <w:tr w:rsidR="002B3741" w:rsidRPr="00900A73" w14:paraId="7917EB41" w14:textId="77777777" w:rsidTr="002B3741">
        <w:trPr>
          <w:trHeight w:val="20"/>
        </w:trPr>
        <w:tc>
          <w:tcPr>
            <w:tcW w:w="3809" w:type="pct"/>
          </w:tcPr>
          <w:p w14:paraId="54F7DD1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Contribuciones de mejoras por servicios públicos</w:t>
            </w:r>
          </w:p>
        </w:tc>
        <w:tc>
          <w:tcPr>
            <w:tcW w:w="1191" w:type="pct"/>
          </w:tcPr>
          <w:p w14:paraId="43E9BD82" w14:textId="21AA3DD9"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12,157</w:t>
            </w:r>
            <w:r w:rsidRPr="00900A73">
              <w:rPr>
                <w:rFonts w:ascii="Arial" w:eastAsia="Arial" w:hAnsi="Arial"/>
                <w:color w:val="000000"/>
                <w:sz w:val="20"/>
                <w:szCs w:val="20"/>
                <w:lang w:val="es-ES" w:eastAsia="es-MX"/>
              </w:rPr>
              <w:t>.00</w:t>
            </w:r>
          </w:p>
        </w:tc>
      </w:tr>
      <w:tr w:rsidR="002B3741" w:rsidRPr="00900A73" w14:paraId="7556D1D9" w14:textId="77777777" w:rsidTr="002B3741">
        <w:trPr>
          <w:trHeight w:val="20"/>
        </w:trPr>
        <w:tc>
          <w:tcPr>
            <w:tcW w:w="3809" w:type="pct"/>
          </w:tcPr>
          <w:p w14:paraId="25A9244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Contribuciones de Mejoras no Comprendidas en la Ley de Ingresos Vigente, Causadas en Ejercicios Fiscales Anteriores Pendientes de Liquidación o Pago</w:t>
            </w:r>
          </w:p>
        </w:tc>
        <w:tc>
          <w:tcPr>
            <w:tcW w:w="1191" w:type="pct"/>
          </w:tcPr>
          <w:p w14:paraId="64E2C2BD" w14:textId="77777777" w:rsidR="002B3741" w:rsidRPr="00900A73" w:rsidRDefault="002B3741" w:rsidP="00900A73">
            <w:pPr>
              <w:widowControl w:val="0"/>
              <w:pBdr>
                <w:top w:val="nil"/>
                <w:left w:val="nil"/>
                <w:bottom w:val="nil"/>
                <w:right w:val="nil"/>
                <w:between w:val="nil"/>
              </w:pBdr>
              <w:tabs>
                <w:tab w:val="left" w:pos="610"/>
              </w:tabs>
              <w:spacing w:after="0" w:line="360" w:lineRule="auto"/>
              <w:jc w:val="both"/>
              <w:rPr>
                <w:rFonts w:ascii="Arial" w:eastAsia="Arial" w:hAnsi="Arial"/>
                <w:b/>
                <w:color w:val="000000"/>
                <w:sz w:val="20"/>
                <w:szCs w:val="20"/>
                <w:lang w:val="es-ES" w:eastAsia="es-MX"/>
              </w:rPr>
            </w:pPr>
          </w:p>
          <w:p w14:paraId="6A55B6E8" w14:textId="77777777" w:rsidR="002B3741" w:rsidRPr="00900A73" w:rsidRDefault="002B3741" w:rsidP="00900A73">
            <w:pPr>
              <w:widowControl w:val="0"/>
              <w:pBdr>
                <w:top w:val="nil"/>
                <w:left w:val="nil"/>
                <w:bottom w:val="nil"/>
                <w:right w:val="nil"/>
                <w:between w:val="nil"/>
              </w:pBdr>
              <w:tabs>
                <w:tab w:val="left" w:pos="610"/>
              </w:tabs>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color w:val="000000"/>
                <w:sz w:val="20"/>
                <w:szCs w:val="20"/>
                <w:lang w:val="es-ES" w:eastAsia="es-MX"/>
              </w:rPr>
              <w:t xml:space="preserve">                       </w:t>
            </w:r>
            <w:r w:rsidRPr="00900A73">
              <w:rPr>
                <w:rFonts w:ascii="Arial" w:eastAsia="Arial" w:hAnsi="Arial"/>
                <w:b/>
                <w:color w:val="000000"/>
                <w:sz w:val="20"/>
                <w:szCs w:val="20"/>
                <w:lang w:val="es-ES" w:eastAsia="es-MX"/>
              </w:rPr>
              <w:t>0.00</w:t>
            </w:r>
          </w:p>
        </w:tc>
      </w:tr>
    </w:tbl>
    <w:p w14:paraId="1EBD5D6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61B6188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7.- </w:t>
      </w:r>
      <w:r w:rsidRPr="00900A73">
        <w:rPr>
          <w:rFonts w:ascii="Arial" w:eastAsia="Arial" w:hAnsi="Arial"/>
          <w:color w:val="000000"/>
          <w:sz w:val="20"/>
          <w:szCs w:val="20"/>
          <w:lang w:val="es-ES" w:eastAsia="es-MX"/>
        </w:rPr>
        <w:t xml:space="preserve">Los Derechos que 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percibirá, se causarán por los siguientes conceptos:</w:t>
      </w:r>
    </w:p>
    <w:p w14:paraId="21D6FB03"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9"/>
        <w:gridCol w:w="2408"/>
      </w:tblGrid>
      <w:tr w:rsidR="002B3741" w:rsidRPr="00900A73" w14:paraId="77C14410" w14:textId="77777777" w:rsidTr="002B3741">
        <w:trPr>
          <w:trHeight w:val="20"/>
        </w:trPr>
        <w:tc>
          <w:tcPr>
            <w:tcW w:w="3672" w:type="pct"/>
            <w:shd w:val="clear" w:color="auto" w:fill="D9D9D9"/>
          </w:tcPr>
          <w:p w14:paraId="4F685604"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Derechos</w:t>
            </w:r>
          </w:p>
        </w:tc>
        <w:tc>
          <w:tcPr>
            <w:tcW w:w="1328" w:type="pct"/>
            <w:shd w:val="clear" w:color="auto" w:fill="D9D9D9"/>
            <w:vAlign w:val="center"/>
          </w:tcPr>
          <w:p w14:paraId="70B8AC92" w14:textId="7E97500D" w:rsidR="002B3741" w:rsidRPr="00900A73" w:rsidRDefault="002B3741" w:rsidP="009C1F1D">
            <w:pPr>
              <w:widowControl w:val="0"/>
              <w:pBdr>
                <w:top w:val="nil"/>
                <w:left w:val="nil"/>
                <w:bottom w:val="nil"/>
                <w:right w:val="nil"/>
                <w:between w:val="nil"/>
              </w:pBdr>
              <w:tabs>
                <w:tab w:val="left" w:pos="500"/>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556,593</w:t>
            </w:r>
            <w:r w:rsidRPr="00900A73">
              <w:rPr>
                <w:rFonts w:ascii="Arial" w:eastAsia="Arial" w:hAnsi="Arial"/>
                <w:b/>
                <w:color w:val="000000"/>
                <w:sz w:val="20"/>
                <w:szCs w:val="20"/>
                <w:lang w:val="es-ES" w:eastAsia="es-MX"/>
              </w:rPr>
              <w:t>.00</w:t>
            </w:r>
          </w:p>
        </w:tc>
      </w:tr>
      <w:tr w:rsidR="002B3741" w:rsidRPr="00900A73" w14:paraId="1A068372" w14:textId="77777777" w:rsidTr="002B3741">
        <w:trPr>
          <w:trHeight w:val="20"/>
        </w:trPr>
        <w:tc>
          <w:tcPr>
            <w:tcW w:w="3672" w:type="pct"/>
          </w:tcPr>
          <w:p w14:paraId="4C5D10B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Derechos por el Uso, Goce, Aprovechamiento o Explotación de Bienes de Dominio Público</w:t>
            </w:r>
          </w:p>
        </w:tc>
        <w:tc>
          <w:tcPr>
            <w:tcW w:w="1328" w:type="pct"/>
            <w:vAlign w:val="center"/>
          </w:tcPr>
          <w:p w14:paraId="29576D3D" w14:textId="77BBE0C6" w:rsidR="002B3741" w:rsidRPr="00900A73" w:rsidRDefault="002B3741" w:rsidP="009C1F1D">
            <w:pPr>
              <w:widowControl w:val="0"/>
              <w:pBdr>
                <w:top w:val="nil"/>
                <w:left w:val="nil"/>
                <w:bottom w:val="nil"/>
                <w:right w:val="nil"/>
                <w:between w:val="nil"/>
              </w:pBdr>
              <w:tabs>
                <w:tab w:val="left" w:pos="499"/>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61,910</w:t>
            </w:r>
            <w:r w:rsidRPr="00900A73">
              <w:rPr>
                <w:rFonts w:ascii="Arial" w:eastAsia="Arial" w:hAnsi="Arial"/>
                <w:b/>
                <w:color w:val="000000"/>
                <w:sz w:val="20"/>
                <w:szCs w:val="20"/>
                <w:lang w:val="es-ES" w:eastAsia="es-MX"/>
              </w:rPr>
              <w:t>.00</w:t>
            </w:r>
          </w:p>
        </w:tc>
      </w:tr>
      <w:tr w:rsidR="002B3741" w:rsidRPr="00900A73" w14:paraId="167869AE" w14:textId="77777777" w:rsidTr="002B3741">
        <w:trPr>
          <w:trHeight w:val="20"/>
        </w:trPr>
        <w:tc>
          <w:tcPr>
            <w:tcW w:w="3672" w:type="pct"/>
          </w:tcPr>
          <w:p w14:paraId="06ED6E6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Por el uso de locales o pisos de mercados, espacios en la vía o parques públicos</w:t>
            </w:r>
          </w:p>
        </w:tc>
        <w:tc>
          <w:tcPr>
            <w:tcW w:w="1328" w:type="pct"/>
            <w:vAlign w:val="center"/>
          </w:tcPr>
          <w:p w14:paraId="5DB22669" w14:textId="7867672D" w:rsidR="002B3741" w:rsidRPr="00900A73" w:rsidRDefault="002B3741" w:rsidP="009C1F1D">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61,910</w:t>
            </w:r>
            <w:r w:rsidRPr="00900A73">
              <w:rPr>
                <w:rFonts w:ascii="Arial" w:eastAsia="Arial" w:hAnsi="Arial"/>
                <w:color w:val="000000"/>
                <w:sz w:val="20"/>
                <w:szCs w:val="20"/>
                <w:lang w:val="es-ES" w:eastAsia="es-MX"/>
              </w:rPr>
              <w:t>.00</w:t>
            </w:r>
          </w:p>
        </w:tc>
      </w:tr>
      <w:tr w:rsidR="002B3741" w:rsidRPr="00900A73" w14:paraId="07FFDEF0" w14:textId="77777777" w:rsidTr="002B3741">
        <w:trPr>
          <w:trHeight w:val="20"/>
        </w:trPr>
        <w:tc>
          <w:tcPr>
            <w:tcW w:w="3672" w:type="pct"/>
          </w:tcPr>
          <w:p w14:paraId="247B0264"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Por enajenación, uso y explotación de los bienes de dominio público del patrimonio municipal</w:t>
            </w:r>
          </w:p>
        </w:tc>
        <w:tc>
          <w:tcPr>
            <w:tcW w:w="1328" w:type="pct"/>
            <w:vAlign w:val="center"/>
          </w:tcPr>
          <w:p w14:paraId="1E17896D" w14:textId="51F4569F" w:rsidR="002B3741" w:rsidRPr="00900A73" w:rsidRDefault="002B3741" w:rsidP="00900A73">
            <w:pPr>
              <w:widowControl w:val="0"/>
              <w:pBdr>
                <w:top w:val="nil"/>
                <w:left w:val="nil"/>
                <w:bottom w:val="nil"/>
                <w:right w:val="nil"/>
                <w:between w:val="nil"/>
              </w:pBdr>
              <w:tabs>
                <w:tab w:val="left" w:pos="1111"/>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7AE697BE" w14:textId="77777777" w:rsidTr="002B3741">
        <w:trPr>
          <w:trHeight w:val="20"/>
        </w:trPr>
        <w:tc>
          <w:tcPr>
            <w:tcW w:w="3672" w:type="pct"/>
          </w:tcPr>
          <w:p w14:paraId="7E18437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Por el otorgamiento de concesiones para el uso y aprovechamiento de superficies en los mercados municipales</w:t>
            </w:r>
          </w:p>
        </w:tc>
        <w:tc>
          <w:tcPr>
            <w:tcW w:w="1328" w:type="pct"/>
            <w:vAlign w:val="center"/>
          </w:tcPr>
          <w:p w14:paraId="03E17232" w14:textId="22D85349" w:rsidR="002B3741" w:rsidRPr="00900A73" w:rsidRDefault="002B3741" w:rsidP="00900A73">
            <w:pPr>
              <w:widowControl w:val="0"/>
              <w:pBdr>
                <w:top w:val="nil"/>
                <w:left w:val="nil"/>
                <w:bottom w:val="nil"/>
                <w:right w:val="nil"/>
                <w:between w:val="nil"/>
              </w:pBdr>
              <w:tabs>
                <w:tab w:val="left" w:pos="1111"/>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32F7DB14" w14:textId="77777777" w:rsidTr="002B3741">
        <w:trPr>
          <w:trHeight w:val="20"/>
        </w:trPr>
        <w:tc>
          <w:tcPr>
            <w:tcW w:w="3672" w:type="pct"/>
          </w:tcPr>
          <w:p w14:paraId="7B583AF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Por uso, goce y aprovechamiento de bienes de los Panteones Públicos</w:t>
            </w:r>
          </w:p>
        </w:tc>
        <w:tc>
          <w:tcPr>
            <w:tcW w:w="1328" w:type="pct"/>
            <w:vAlign w:val="center"/>
          </w:tcPr>
          <w:p w14:paraId="02DB527B" w14:textId="2DF81F5F" w:rsidR="002B3741" w:rsidRPr="00900A73" w:rsidRDefault="002B3741" w:rsidP="00900A73">
            <w:pPr>
              <w:widowControl w:val="0"/>
              <w:pBdr>
                <w:top w:val="nil"/>
                <w:left w:val="nil"/>
                <w:bottom w:val="nil"/>
                <w:right w:val="nil"/>
                <w:between w:val="nil"/>
              </w:pBdr>
              <w:tabs>
                <w:tab w:val="left" w:pos="1111"/>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2ACAEA78" w14:textId="77777777" w:rsidTr="002B3741">
        <w:trPr>
          <w:trHeight w:val="20"/>
        </w:trPr>
        <w:tc>
          <w:tcPr>
            <w:tcW w:w="3672" w:type="pct"/>
          </w:tcPr>
          <w:p w14:paraId="699C500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lastRenderedPageBreak/>
              <w:t>&gt; Por los permisos de oferentes en programas para la promoción económica, turística y cultural</w:t>
            </w:r>
          </w:p>
        </w:tc>
        <w:tc>
          <w:tcPr>
            <w:tcW w:w="1328" w:type="pct"/>
            <w:vAlign w:val="center"/>
          </w:tcPr>
          <w:p w14:paraId="2CB80600" w14:textId="434E4D4B" w:rsidR="002B3741" w:rsidRPr="00900A73" w:rsidRDefault="002B3741" w:rsidP="00900A73">
            <w:pPr>
              <w:widowControl w:val="0"/>
              <w:pBdr>
                <w:top w:val="nil"/>
                <w:left w:val="nil"/>
                <w:bottom w:val="nil"/>
                <w:right w:val="nil"/>
                <w:between w:val="nil"/>
              </w:pBdr>
              <w:tabs>
                <w:tab w:val="left" w:pos="1111"/>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479E8B51" w14:textId="77777777" w:rsidTr="002B3741">
        <w:trPr>
          <w:trHeight w:val="20"/>
        </w:trPr>
        <w:tc>
          <w:tcPr>
            <w:tcW w:w="3672" w:type="pct"/>
          </w:tcPr>
          <w:p w14:paraId="4591C77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Derechos por Prestación de Servicios</w:t>
            </w:r>
          </w:p>
        </w:tc>
        <w:tc>
          <w:tcPr>
            <w:tcW w:w="1328" w:type="pct"/>
            <w:vAlign w:val="center"/>
          </w:tcPr>
          <w:p w14:paraId="049E4A8C" w14:textId="57B6EA5B" w:rsidR="002B3741" w:rsidRPr="00900A73" w:rsidRDefault="002B3741" w:rsidP="00900A73">
            <w:pPr>
              <w:widowControl w:val="0"/>
              <w:pBdr>
                <w:top w:val="nil"/>
                <w:left w:val="nil"/>
                <w:bottom w:val="nil"/>
                <w:right w:val="nil"/>
                <w:between w:val="nil"/>
              </w:pBdr>
              <w:tabs>
                <w:tab w:val="left" w:pos="44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294,863</w:t>
            </w:r>
            <w:r w:rsidRPr="00900A73">
              <w:rPr>
                <w:rFonts w:ascii="Arial" w:eastAsia="Arial" w:hAnsi="Arial"/>
                <w:b/>
                <w:color w:val="000000"/>
                <w:sz w:val="20"/>
                <w:szCs w:val="20"/>
                <w:lang w:val="es-ES" w:eastAsia="es-MX"/>
              </w:rPr>
              <w:t>.00</w:t>
            </w:r>
          </w:p>
        </w:tc>
      </w:tr>
      <w:tr w:rsidR="002B3741" w:rsidRPr="00900A73" w14:paraId="3EF23FB2" w14:textId="77777777" w:rsidTr="002B3741">
        <w:trPr>
          <w:trHeight w:val="20"/>
        </w:trPr>
        <w:tc>
          <w:tcPr>
            <w:tcW w:w="3672" w:type="pct"/>
          </w:tcPr>
          <w:p w14:paraId="28536D9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Servicios de Agua Potable, Drenaje y Alcantarillado</w:t>
            </w:r>
          </w:p>
        </w:tc>
        <w:tc>
          <w:tcPr>
            <w:tcW w:w="1328" w:type="pct"/>
            <w:vAlign w:val="center"/>
          </w:tcPr>
          <w:p w14:paraId="239FA7BA" w14:textId="2BA01092" w:rsidR="002B3741" w:rsidRPr="00900A73" w:rsidRDefault="002B3741" w:rsidP="00900A73">
            <w:pPr>
              <w:widowControl w:val="0"/>
              <w:pBdr>
                <w:top w:val="nil"/>
                <w:left w:val="nil"/>
                <w:bottom w:val="nil"/>
                <w:right w:val="nil"/>
                <w:between w:val="nil"/>
              </w:pBdr>
              <w:tabs>
                <w:tab w:val="left" w:pos="444"/>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76,215</w:t>
            </w:r>
            <w:r w:rsidRPr="00900A73">
              <w:rPr>
                <w:rFonts w:ascii="Arial" w:eastAsia="Arial" w:hAnsi="Arial"/>
                <w:color w:val="000000"/>
                <w:sz w:val="20"/>
                <w:szCs w:val="20"/>
                <w:lang w:val="es-ES" w:eastAsia="es-MX"/>
              </w:rPr>
              <w:t>.00</w:t>
            </w:r>
          </w:p>
        </w:tc>
      </w:tr>
      <w:tr w:rsidR="002B3741" w:rsidRPr="00900A73" w14:paraId="4DD4B65F" w14:textId="77777777" w:rsidTr="002B3741">
        <w:trPr>
          <w:trHeight w:val="20"/>
        </w:trPr>
        <w:tc>
          <w:tcPr>
            <w:tcW w:w="3672" w:type="pct"/>
          </w:tcPr>
          <w:p w14:paraId="6E82612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Alumbrado público</w:t>
            </w:r>
          </w:p>
        </w:tc>
        <w:tc>
          <w:tcPr>
            <w:tcW w:w="1328" w:type="pct"/>
            <w:vAlign w:val="center"/>
          </w:tcPr>
          <w:p w14:paraId="1AD739E5" w14:textId="4AD20E94" w:rsidR="002B3741" w:rsidRPr="00900A73" w:rsidRDefault="002B3741" w:rsidP="00900A73">
            <w:pPr>
              <w:widowControl w:val="0"/>
              <w:pBdr>
                <w:top w:val="nil"/>
                <w:left w:val="nil"/>
                <w:bottom w:val="nil"/>
                <w:right w:val="nil"/>
                <w:between w:val="nil"/>
              </w:pBdr>
              <w:tabs>
                <w:tab w:val="left" w:pos="332"/>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146,330</w:t>
            </w:r>
            <w:r w:rsidRPr="00900A73">
              <w:rPr>
                <w:rFonts w:ascii="Arial" w:eastAsia="Arial" w:hAnsi="Arial"/>
                <w:color w:val="000000"/>
                <w:sz w:val="20"/>
                <w:szCs w:val="20"/>
                <w:lang w:val="es-ES" w:eastAsia="es-MX"/>
              </w:rPr>
              <w:t>.00</w:t>
            </w:r>
          </w:p>
        </w:tc>
      </w:tr>
      <w:tr w:rsidR="002B3741" w:rsidRPr="00900A73" w14:paraId="0735AB19" w14:textId="77777777" w:rsidTr="002B3741">
        <w:trPr>
          <w:trHeight w:val="20"/>
        </w:trPr>
        <w:tc>
          <w:tcPr>
            <w:tcW w:w="3672" w:type="pct"/>
          </w:tcPr>
          <w:p w14:paraId="74652C7B" w14:textId="77777777" w:rsidR="002B3741" w:rsidRPr="00900A73" w:rsidRDefault="002B3741" w:rsidP="00900A73">
            <w:pPr>
              <w:widowControl w:val="0"/>
              <w:pBdr>
                <w:top w:val="nil"/>
                <w:left w:val="nil"/>
                <w:bottom w:val="nil"/>
                <w:right w:val="nil"/>
                <w:between w:val="nil"/>
              </w:pBdr>
              <w:tabs>
                <w:tab w:val="left" w:pos="1204"/>
                <w:tab w:val="left" w:pos="2197"/>
                <w:tab w:val="left" w:pos="2645"/>
                <w:tab w:val="left" w:pos="3559"/>
                <w:tab w:val="left" w:pos="5008"/>
                <w:tab w:val="left" w:pos="6056"/>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&gt; Servicio de Limpia, Recolección, Traslado y disposición final de residuos </w:t>
            </w:r>
          </w:p>
        </w:tc>
        <w:tc>
          <w:tcPr>
            <w:tcW w:w="1328" w:type="pct"/>
            <w:vAlign w:val="center"/>
          </w:tcPr>
          <w:p w14:paraId="68685FF2" w14:textId="1FC804B9" w:rsidR="002B3741" w:rsidRPr="00900A73" w:rsidRDefault="002B3741" w:rsidP="00900A73">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29,266</w:t>
            </w:r>
            <w:r w:rsidRPr="00900A73">
              <w:rPr>
                <w:rFonts w:ascii="Arial" w:eastAsia="Arial" w:hAnsi="Arial"/>
                <w:color w:val="000000"/>
                <w:sz w:val="20"/>
                <w:szCs w:val="20"/>
                <w:lang w:val="es-ES" w:eastAsia="es-MX"/>
              </w:rPr>
              <w:t>.00</w:t>
            </w:r>
          </w:p>
        </w:tc>
      </w:tr>
      <w:tr w:rsidR="002B3741" w:rsidRPr="00900A73" w14:paraId="3206635A" w14:textId="77777777" w:rsidTr="002B3741">
        <w:trPr>
          <w:trHeight w:val="20"/>
        </w:trPr>
        <w:tc>
          <w:tcPr>
            <w:tcW w:w="3672" w:type="pct"/>
          </w:tcPr>
          <w:p w14:paraId="30F18BF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Mercados y Centrales de Abasto</w:t>
            </w:r>
          </w:p>
        </w:tc>
        <w:tc>
          <w:tcPr>
            <w:tcW w:w="1328" w:type="pct"/>
            <w:vAlign w:val="center"/>
          </w:tcPr>
          <w:p w14:paraId="3D925652" w14:textId="1E02CEB2" w:rsidR="002B3741" w:rsidRPr="00900A73" w:rsidRDefault="002B3741" w:rsidP="00900A73">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12,196</w:t>
            </w:r>
            <w:r w:rsidRPr="00900A73">
              <w:rPr>
                <w:rFonts w:ascii="Arial" w:eastAsia="Arial" w:hAnsi="Arial"/>
                <w:color w:val="000000"/>
                <w:sz w:val="20"/>
                <w:szCs w:val="20"/>
                <w:lang w:val="es-ES" w:eastAsia="es-MX"/>
              </w:rPr>
              <w:t>.00</w:t>
            </w:r>
          </w:p>
        </w:tc>
      </w:tr>
      <w:tr w:rsidR="002B3741" w:rsidRPr="00900A73" w14:paraId="1C212069" w14:textId="77777777" w:rsidTr="002B3741">
        <w:trPr>
          <w:trHeight w:val="20"/>
        </w:trPr>
        <w:tc>
          <w:tcPr>
            <w:tcW w:w="3672" w:type="pct"/>
          </w:tcPr>
          <w:p w14:paraId="3A1E4C3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Panteones</w:t>
            </w:r>
          </w:p>
        </w:tc>
        <w:tc>
          <w:tcPr>
            <w:tcW w:w="1328" w:type="pct"/>
            <w:vAlign w:val="center"/>
          </w:tcPr>
          <w:p w14:paraId="375D94C5" w14:textId="6F2D3B9B" w:rsidR="002B3741" w:rsidRPr="00900A73" w:rsidRDefault="002B3741" w:rsidP="00900A73">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15,221</w:t>
            </w:r>
            <w:r w:rsidRPr="00900A73">
              <w:rPr>
                <w:rFonts w:ascii="Arial" w:eastAsia="Arial" w:hAnsi="Arial"/>
                <w:color w:val="000000"/>
                <w:sz w:val="20"/>
                <w:szCs w:val="20"/>
                <w:lang w:val="es-ES" w:eastAsia="es-MX"/>
              </w:rPr>
              <w:t>.00</w:t>
            </w:r>
          </w:p>
        </w:tc>
      </w:tr>
      <w:tr w:rsidR="002B3741" w:rsidRPr="00900A73" w14:paraId="5147A485" w14:textId="77777777" w:rsidTr="002B3741">
        <w:trPr>
          <w:trHeight w:val="20"/>
        </w:trPr>
        <w:tc>
          <w:tcPr>
            <w:tcW w:w="3672" w:type="pct"/>
          </w:tcPr>
          <w:p w14:paraId="3DE523A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Rastro</w:t>
            </w:r>
          </w:p>
        </w:tc>
        <w:tc>
          <w:tcPr>
            <w:tcW w:w="1328" w:type="pct"/>
            <w:vAlign w:val="center"/>
          </w:tcPr>
          <w:p w14:paraId="1A9495E8"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619DF739" w14:textId="77777777" w:rsidTr="002B3741">
        <w:trPr>
          <w:trHeight w:val="20"/>
        </w:trPr>
        <w:tc>
          <w:tcPr>
            <w:tcW w:w="3672" w:type="pct"/>
          </w:tcPr>
          <w:p w14:paraId="447F67D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Seguridad pública (Policía Preventiva y Tránsito Municipal)</w:t>
            </w:r>
          </w:p>
        </w:tc>
        <w:tc>
          <w:tcPr>
            <w:tcW w:w="1328" w:type="pct"/>
            <w:vAlign w:val="center"/>
          </w:tcPr>
          <w:p w14:paraId="66BFA807" w14:textId="0EE0AB9A" w:rsidR="002B3741" w:rsidRPr="00900A73" w:rsidRDefault="002B3741" w:rsidP="00900A73">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14,072</w:t>
            </w:r>
            <w:r w:rsidRPr="00900A73">
              <w:rPr>
                <w:rFonts w:ascii="Arial" w:eastAsia="Arial" w:hAnsi="Arial"/>
                <w:color w:val="000000"/>
                <w:sz w:val="20"/>
                <w:szCs w:val="20"/>
                <w:lang w:val="es-ES" w:eastAsia="es-MX"/>
              </w:rPr>
              <w:t>.00</w:t>
            </w:r>
          </w:p>
        </w:tc>
      </w:tr>
      <w:tr w:rsidR="002B3741" w:rsidRPr="00900A73" w14:paraId="38726B71" w14:textId="77777777" w:rsidTr="002B3741">
        <w:trPr>
          <w:trHeight w:val="20"/>
        </w:trPr>
        <w:tc>
          <w:tcPr>
            <w:tcW w:w="3672" w:type="pct"/>
          </w:tcPr>
          <w:p w14:paraId="04222804"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Catastro</w:t>
            </w:r>
          </w:p>
        </w:tc>
        <w:tc>
          <w:tcPr>
            <w:tcW w:w="1328" w:type="pct"/>
            <w:vAlign w:val="center"/>
          </w:tcPr>
          <w:p w14:paraId="2D65E0EB" w14:textId="6FCBE7DF" w:rsidR="002B3741" w:rsidRPr="00900A73" w:rsidRDefault="002B3741" w:rsidP="00900A73">
            <w:pPr>
              <w:widowControl w:val="0"/>
              <w:pBdr>
                <w:top w:val="nil"/>
                <w:left w:val="nil"/>
                <w:bottom w:val="nil"/>
                <w:right w:val="nil"/>
                <w:between w:val="nil"/>
              </w:pBdr>
              <w:tabs>
                <w:tab w:val="left" w:pos="66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1,5</w:t>
            </w:r>
            <w:r w:rsidR="006B6141" w:rsidRPr="00900A73">
              <w:rPr>
                <w:rFonts w:ascii="Arial" w:eastAsia="Arial" w:hAnsi="Arial"/>
                <w:color w:val="000000"/>
                <w:sz w:val="20"/>
                <w:szCs w:val="20"/>
                <w:lang w:val="es-ES" w:eastAsia="es-MX"/>
              </w:rPr>
              <w:t>63</w:t>
            </w:r>
            <w:r w:rsidRPr="00900A73">
              <w:rPr>
                <w:rFonts w:ascii="Arial" w:eastAsia="Arial" w:hAnsi="Arial"/>
                <w:color w:val="000000"/>
                <w:sz w:val="20"/>
                <w:szCs w:val="20"/>
                <w:lang w:val="es-ES" w:eastAsia="es-MX"/>
              </w:rPr>
              <w:t>.00</w:t>
            </w:r>
          </w:p>
        </w:tc>
      </w:tr>
      <w:tr w:rsidR="002B3741" w:rsidRPr="00900A73" w14:paraId="3269820B" w14:textId="77777777" w:rsidTr="002B3741">
        <w:trPr>
          <w:trHeight w:val="20"/>
        </w:trPr>
        <w:tc>
          <w:tcPr>
            <w:tcW w:w="3672" w:type="pct"/>
          </w:tcPr>
          <w:p w14:paraId="1890A04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Otros Derechos</w:t>
            </w:r>
          </w:p>
        </w:tc>
        <w:tc>
          <w:tcPr>
            <w:tcW w:w="1328" w:type="pct"/>
            <w:vAlign w:val="center"/>
          </w:tcPr>
          <w:p w14:paraId="7F6074B0" w14:textId="09782E78" w:rsidR="002B3741" w:rsidRPr="00900A73" w:rsidRDefault="002B3741" w:rsidP="00900A73">
            <w:pPr>
              <w:widowControl w:val="0"/>
              <w:pBdr>
                <w:top w:val="nil"/>
                <w:left w:val="nil"/>
                <w:bottom w:val="nil"/>
                <w:right w:val="nil"/>
                <w:between w:val="nil"/>
              </w:pBdr>
              <w:tabs>
                <w:tab w:val="left" w:pos="44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            </w:t>
            </w:r>
            <w:r w:rsidR="006B6141" w:rsidRPr="00900A73">
              <w:rPr>
                <w:rFonts w:ascii="Arial" w:eastAsia="Arial" w:hAnsi="Arial"/>
                <w:b/>
                <w:color w:val="000000"/>
                <w:sz w:val="20"/>
                <w:szCs w:val="20"/>
                <w:lang w:val="es-ES" w:eastAsia="es-MX"/>
              </w:rPr>
              <w:t>199,820</w:t>
            </w:r>
            <w:r w:rsidRPr="00900A73">
              <w:rPr>
                <w:rFonts w:ascii="Arial" w:eastAsia="Arial" w:hAnsi="Arial"/>
                <w:b/>
                <w:color w:val="000000"/>
                <w:sz w:val="20"/>
                <w:szCs w:val="20"/>
                <w:lang w:val="es-ES" w:eastAsia="es-MX"/>
              </w:rPr>
              <w:t>.00</w:t>
            </w:r>
          </w:p>
        </w:tc>
      </w:tr>
      <w:tr w:rsidR="002B3741" w:rsidRPr="00900A73" w14:paraId="6D129484" w14:textId="77777777" w:rsidTr="002B3741">
        <w:trPr>
          <w:trHeight w:val="20"/>
        </w:trPr>
        <w:tc>
          <w:tcPr>
            <w:tcW w:w="3672" w:type="pct"/>
          </w:tcPr>
          <w:p w14:paraId="14AEAE73" w14:textId="77777777" w:rsidR="002B3741" w:rsidRPr="00900A73" w:rsidRDefault="002B3741" w:rsidP="00900A73">
            <w:pPr>
              <w:widowControl w:val="0"/>
              <w:pBdr>
                <w:top w:val="nil"/>
                <w:left w:val="nil"/>
                <w:bottom w:val="nil"/>
                <w:right w:val="nil"/>
                <w:between w:val="nil"/>
              </w:pBdr>
              <w:tabs>
                <w:tab w:val="left" w:pos="998"/>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Licencias de funcionamiento y Permisos</w:t>
            </w:r>
          </w:p>
        </w:tc>
        <w:tc>
          <w:tcPr>
            <w:tcW w:w="1328" w:type="pct"/>
            <w:vAlign w:val="center"/>
          </w:tcPr>
          <w:p w14:paraId="0C672C13" w14:textId="2AB41173" w:rsidR="002B3741" w:rsidRPr="00900A73" w:rsidRDefault="002B3741" w:rsidP="00900A73">
            <w:pPr>
              <w:widowControl w:val="0"/>
              <w:pBdr>
                <w:top w:val="nil"/>
                <w:left w:val="nil"/>
                <w:bottom w:val="nil"/>
                <w:right w:val="nil"/>
                <w:between w:val="nil"/>
              </w:pBdr>
              <w:tabs>
                <w:tab w:val="left" w:pos="44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188,230</w:t>
            </w:r>
            <w:r w:rsidRPr="00900A73">
              <w:rPr>
                <w:rFonts w:ascii="Arial" w:eastAsia="Arial" w:hAnsi="Arial"/>
                <w:color w:val="000000"/>
                <w:sz w:val="20"/>
                <w:szCs w:val="20"/>
                <w:lang w:val="es-ES" w:eastAsia="es-MX"/>
              </w:rPr>
              <w:t>.00</w:t>
            </w:r>
          </w:p>
        </w:tc>
      </w:tr>
      <w:tr w:rsidR="002B3741" w:rsidRPr="00900A73" w14:paraId="7C536E6A" w14:textId="77777777" w:rsidTr="002B3741">
        <w:trPr>
          <w:trHeight w:val="20"/>
        </w:trPr>
        <w:tc>
          <w:tcPr>
            <w:tcW w:w="3672" w:type="pct"/>
          </w:tcPr>
          <w:p w14:paraId="7CD86DF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Servicios que presta la Dirección de Obras Públicas y Desarrollo Urbano</w:t>
            </w:r>
          </w:p>
        </w:tc>
        <w:tc>
          <w:tcPr>
            <w:tcW w:w="1328" w:type="pct"/>
            <w:vAlign w:val="center"/>
          </w:tcPr>
          <w:p w14:paraId="15FF4053" w14:textId="6791A9BE" w:rsidR="002B3741" w:rsidRPr="00900A73" w:rsidRDefault="002B3741" w:rsidP="00900A73">
            <w:pPr>
              <w:widowControl w:val="0"/>
              <w:pBdr>
                <w:top w:val="nil"/>
                <w:left w:val="nil"/>
                <w:bottom w:val="nil"/>
                <w:right w:val="nil"/>
                <w:between w:val="nil"/>
              </w:pBdr>
              <w:tabs>
                <w:tab w:val="left" w:pos="66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5,023</w:t>
            </w:r>
            <w:r w:rsidRPr="00900A73">
              <w:rPr>
                <w:rFonts w:ascii="Arial" w:eastAsia="Arial" w:hAnsi="Arial"/>
                <w:color w:val="000000"/>
                <w:sz w:val="20"/>
                <w:szCs w:val="20"/>
                <w:lang w:val="es-ES" w:eastAsia="es-MX"/>
              </w:rPr>
              <w:t>.00</w:t>
            </w:r>
          </w:p>
        </w:tc>
      </w:tr>
      <w:tr w:rsidR="002B3741" w:rsidRPr="00900A73" w14:paraId="6E49D2AF" w14:textId="77777777" w:rsidTr="002B3741">
        <w:trPr>
          <w:trHeight w:val="20"/>
        </w:trPr>
        <w:tc>
          <w:tcPr>
            <w:tcW w:w="3672" w:type="pct"/>
          </w:tcPr>
          <w:p w14:paraId="27BFD68A"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Expedición de certificados, constancias, copias, fotografías y formas oficiales</w:t>
            </w:r>
          </w:p>
        </w:tc>
        <w:tc>
          <w:tcPr>
            <w:tcW w:w="1328" w:type="pct"/>
            <w:vAlign w:val="center"/>
          </w:tcPr>
          <w:p w14:paraId="059633B1" w14:textId="4BBD6DEE" w:rsidR="002B3741" w:rsidRPr="00900A73" w:rsidRDefault="002B3741" w:rsidP="00900A73">
            <w:pPr>
              <w:widowControl w:val="0"/>
              <w:pBdr>
                <w:top w:val="nil"/>
                <w:left w:val="nil"/>
                <w:bottom w:val="nil"/>
                <w:right w:val="nil"/>
                <w:between w:val="nil"/>
              </w:pBdr>
              <w:tabs>
                <w:tab w:val="left" w:pos="66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6B6141" w:rsidRPr="00900A73">
              <w:rPr>
                <w:rFonts w:ascii="Arial" w:eastAsia="Arial" w:hAnsi="Arial"/>
                <w:color w:val="000000"/>
                <w:sz w:val="20"/>
                <w:szCs w:val="20"/>
                <w:lang w:val="es-ES" w:eastAsia="es-MX"/>
              </w:rPr>
              <w:t>6,567</w:t>
            </w:r>
            <w:r w:rsidRPr="00900A73">
              <w:rPr>
                <w:rFonts w:ascii="Arial" w:eastAsia="Arial" w:hAnsi="Arial"/>
                <w:color w:val="000000"/>
                <w:sz w:val="20"/>
                <w:szCs w:val="20"/>
                <w:lang w:val="es-ES" w:eastAsia="es-MX"/>
              </w:rPr>
              <w:t>.00</w:t>
            </w:r>
          </w:p>
        </w:tc>
      </w:tr>
      <w:tr w:rsidR="002B3741" w:rsidRPr="00900A73" w14:paraId="688037D1" w14:textId="77777777" w:rsidTr="002B3741">
        <w:trPr>
          <w:trHeight w:val="20"/>
        </w:trPr>
        <w:tc>
          <w:tcPr>
            <w:tcW w:w="3672" w:type="pct"/>
          </w:tcPr>
          <w:p w14:paraId="2124650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Servicios que presta la Unidad de Acceso a la Información Pública</w:t>
            </w:r>
          </w:p>
        </w:tc>
        <w:tc>
          <w:tcPr>
            <w:tcW w:w="1328" w:type="pct"/>
            <w:vAlign w:val="center"/>
          </w:tcPr>
          <w:p w14:paraId="0C45B011"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080BC7F8" w14:textId="77777777" w:rsidTr="002B3741">
        <w:trPr>
          <w:trHeight w:val="20"/>
        </w:trPr>
        <w:tc>
          <w:tcPr>
            <w:tcW w:w="3672" w:type="pct"/>
          </w:tcPr>
          <w:p w14:paraId="19EA3D3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Servicio de Supervisión Sanitaria de Matanza de Ganado</w:t>
            </w:r>
          </w:p>
        </w:tc>
        <w:tc>
          <w:tcPr>
            <w:tcW w:w="1328" w:type="pct"/>
            <w:vAlign w:val="center"/>
          </w:tcPr>
          <w:p w14:paraId="4A3C5814"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44A83064" w14:textId="77777777" w:rsidTr="002B3741">
        <w:trPr>
          <w:trHeight w:val="20"/>
        </w:trPr>
        <w:tc>
          <w:tcPr>
            <w:tcW w:w="3672" w:type="pct"/>
          </w:tcPr>
          <w:p w14:paraId="47031A4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Accesorios de Derechos</w:t>
            </w:r>
          </w:p>
        </w:tc>
        <w:tc>
          <w:tcPr>
            <w:tcW w:w="1328" w:type="pct"/>
            <w:vAlign w:val="center"/>
          </w:tcPr>
          <w:p w14:paraId="5D133369"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r w:rsidR="002B3741" w:rsidRPr="00900A73" w14:paraId="0E03D10B" w14:textId="77777777" w:rsidTr="002B3741">
        <w:trPr>
          <w:trHeight w:val="20"/>
        </w:trPr>
        <w:tc>
          <w:tcPr>
            <w:tcW w:w="3672" w:type="pct"/>
          </w:tcPr>
          <w:p w14:paraId="03553FBA"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Actualizaciones y Recargos de Derechos</w:t>
            </w:r>
          </w:p>
        </w:tc>
        <w:tc>
          <w:tcPr>
            <w:tcW w:w="1328" w:type="pct"/>
            <w:vAlign w:val="center"/>
          </w:tcPr>
          <w:p w14:paraId="787A7C69"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1B26014C" w14:textId="77777777" w:rsidTr="002B3741">
        <w:trPr>
          <w:trHeight w:val="20"/>
        </w:trPr>
        <w:tc>
          <w:tcPr>
            <w:tcW w:w="3672" w:type="pct"/>
          </w:tcPr>
          <w:p w14:paraId="4377580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Multas de Derechos</w:t>
            </w:r>
          </w:p>
        </w:tc>
        <w:tc>
          <w:tcPr>
            <w:tcW w:w="1328" w:type="pct"/>
            <w:vAlign w:val="center"/>
          </w:tcPr>
          <w:p w14:paraId="5478035E"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37403722" w14:textId="77777777" w:rsidTr="002B3741">
        <w:trPr>
          <w:trHeight w:val="20"/>
        </w:trPr>
        <w:tc>
          <w:tcPr>
            <w:tcW w:w="3672" w:type="pct"/>
          </w:tcPr>
          <w:p w14:paraId="1C0C736A"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Gastos de Ejecución de Derechos</w:t>
            </w:r>
          </w:p>
        </w:tc>
        <w:tc>
          <w:tcPr>
            <w:tcW w:w="1328" w:type="pct"/>
            <w:vAlign w:val="center"/>
          </w:tcPr>
          <w:p w14:paraId="24B462D4"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6B7F3B36" w14:textId="77777777" w:rsidTr="002B3741">
        <w:trPr>
          <w:trHeight w:val="20"/>
        </w:trPr>
        <w:tc>
          <w:tcPr>
            <w:tcW w:w="3672" w:type="pct"/>
          </w:tcPr>
          <w:p w14:paraId="358FDE3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Derechos no Comprendidos en la Ley de Ingresos Vigente, Causadas en Ejercicios Fiscales Anteriores Pendientes de Liquidación o Pago</w:t>
            </w:r>
          </w:p>
        </w:tc>
        <w:tc>
          <w:tcPr>
            <w:tcW w:w="1328" w:type="pct"/>
            <w:vAlign w:val="center"/>
          </w:tcPr>
          <w:p w14:paraId="6B4C5C56" w14:textId="77777777" w:rsidR="002B3741" w:rsidRPr="00900A73" w:rsidRDefault="002B3741" w:rsidP="00900A73">
            <w:pPr>
              <w:widowControl w:val="0"/>
              <w:pBdr>
                <w:top w:val="nil"/>
                <w:left w:val="nil"/>
                <w:bottom w:val="nil"/>
                <w:right w:val="nil"/>
                <w:between w:val="nil"/>
              </w:pBdr>
              <w:tabs>
                <w:tab w:val="left" w:pos="1056"/>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bl>
    <w:p w14:paraId="0B0F7D15" w14:textId="77777777" w:rsidR="002B3741" w:rsidRPr="00900A73" w:rsidRDefault="002B3741" w:rsidP="00900A73">
      <w:pPr>
        <w:widowControl w:val="0"/>
        <w:tabs>
          <w:tab w:val="left" w:pos="196"/>
          <w:tab w:val="right" w:pos="9420"/>
        </w:tabs>
        <w:spacing w:after="0" w:line="360" w:lineRule="auto"/>
        <w:jc w:val="both"/>
        <w:rPr>
          <w:rFonts w:ascii="Arial" w:eastAsia="Arial" w:hAnsi="Arial"/>
          <w:sz w:val="20"/>
          <w:szCs w:val="20"/>
          <w:lang w:val="es-ES" w:eastAsia="es-MX"/>
        </w:rPr>
      </w:pPr>
    </w:p>
    <w:p w14:paraId="6C3E48D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8.- </w:t>
      </w:r>
      <w:r w:rsidRPr="00900A73">
        <w:rPr>
          <w:rFonts w:ascii="Arial" w:eastAsia="Arial" w:hAnsi="Arial"/>
          <w:color w:val="000000"/>
          <w:sz w:val="20"/>
          <w:szCs w:val="20"/>
          <w:lang w:val="es-ES" w:eastAsia="es-MX"/>
        </w:rPr>
        <w:t>Los ingresos que la Hacienda Pública Municipal percibirá por concepto de productos, serán los siguientes:</w:t>
      </w:r>
    </w:p>
    <w:p w14:paraId="2C7D8BD8" w14:textId="0A9335AF" w:rsidR="002B3741" w:rsidRPr="00900A73" w:rsidRDefault="00CD24BC"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Pr>
          <w:rFonts w:ascii="Arial" w:eastAsia="Arial" w:hAnsi="Arial"/>
          <w:color w:val="000000"/>
          <w:sz w:val="20"/>
          <w:szCs w:val="20"/>
          <w:lang w:val="es-ES" w:eastAsia="es-MX"/>
        </w:rPr>
        <w:br w:type="column"/>
      </w: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2269"/>
      </w:tblGrid>
      <w:tr w:rsidR="002B3741" w:rsidRPr="00900A73" w14:paraId="392CDAF3" w14:textId="77777777" w:rsidTr="002B3741">
        <w:trPr>
          <w:trHeight w:val="20"/>
        </w:trPr>
        <w:tc>
          <w:tcPr>
            <w:tcW w:w="3749" w:type="pct"/>
            <w:shd w:val="clear" w:color="auto" w:fill="D9D9D9"/>
          </w:tcPr>
          <w:p w14:paraId="676A9D3B"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Productos</w:t>
            </w:r>
          </w:p>
        </w:tc>
        <w:tc>
          <w:tcPr>
            <w:tcW w:w="1251" w:type="pct"/>
            <w:shd w:val="clear" w:color="auto" w:fill="D9D9D9"/>
          </w:tcPr>
          <w:p w14:paraId="001ED061" w14:textId="2337F029" w:rsidR="002B3741" w:rsidRPr="00900A73" w:rsidRDefault="002B3741" w:rsidP="002076E2">
            <w:pPr>
              <w:widowControl w:val="0"/>
              <w:pBdr>
                <w:top w:val="nil"/>
                <w:left w:val="nil"/>
                <w:bottom w:val="nil"/>
                <w:right w:val="nil"/>
                <w:between w:val="nil"/>
              </w:pBdr>
              <w:spacing w:after="0" w:line="360" w:lineRule="auto"/>
              <w:jc w:val="right"/>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2,7</w:t>
            </w:r>
            <w:r w:rsidR="006B6141" w:rsidRPr="00900A73">
              <w:rPr>
                <w:rFonts w:ascii="Arial" w:eastAsia="Arial" w:hAnsi="Arial"/>
                <w:b/>
                <w:color w:val="000000"/>
                <w:sz w:val="20"/>
                <w:szCs w:val="20"/>
                <w:lang w:val="es-ES" w:eastAsia="es-MX"/>
              </w:rPr>
              <w:t>91</w:t>
            </w:r>
            <w:r w:rsidRPr="00900A73">
              <w:rPr>
                <w:rFonts w:ascii="Arial" w:eastAsia="Arial" w:hAnsi="Arial"/>
                <w:b/>
                <w:color w:val="000000"/>
                <w:sz w:val="20"/>
                <w:szCs w:val="20"/>
                <w:lang w:val="es-ES" w:eastAsia="es-MX"/>
              </w:rPr>
              <w:t>.00</w:t>
            </w:r>
          </w:p>
        </w:tc>
      </w:tr>
      <w:tr w:rsidR="002B3741" w:rsidRPr="00900A73" w14:paraId="379CA0DF" w14:textId="77777777" w:rsidTr="002B3741">
        <w:trPr>
          <w:trHeight w:val="20"/>
        </w:trPr>
        <w:tc>
          <w:tcPr>
            <w:tcW w:w="3749" w:type="pct"/>
          </w:tcPr>
          <w:p w14:paraId="08D88196"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Productos </w:t>
            </w:r>
          </w:p>
        </w:tc>
        <w:tc>
          <w:tcPr>
            <w:tcW w:w="1251" w:type="pct"/>
          </w:tcPr>
          <w:p w14:paraId="74F0092B" w14:textId="714E7916" w:rsidR="002B3741" w:rsidRPr="00900A73" w:rsidRDefault="002B3741" w:rsidP="002076E2">
            <w:pPr>
              <w:widowControl w:val="0"/>
              <w:pBdr>
                <w:top w:val="nil"/>
                <w:left w:val="nil"/>
                <w:bottom w:val="nil"/>
                <w:right w:val="nil"/>
                <w:between w:val="nil"/>
              </w:pBdr>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2,7</w:t>
            </w:r>
            <w:r w:rsidR="006B6141" w:rsidRPr="00900A73">
              <w:rPr>
                <w:rFonts w:ascii="Arial" w:eastAsia="Arial" w:hAnsi="Arial"/>
                <w:b/>
                <w:color w:val="000000"/>
                <w:sz w:val="20"/>
                <w:szCs w:val="20"/>
                <w:lang w:val="es-ES" w:eastAsia="es-MX"/>
              </w:rPr>
              <w:t>91</w:t>
            </w:r>
            <w:r w:rsidRPr="00900A73">
              <w:rPr>
                <w:rFonts w:ascii="Arial" w:eastAsia="Arial" w:hAnsi="Arial"/>
                <w:b/>
                <w:color w:val="000000"/>
                <w:sz w:val="20"/>
                <w:szCs w:val="20"/>
                <w:lang w:val="es-ES" w:eastAsia="es-MX"/>
              </w:rPr>
              <w:t>.00</w:t>
            </w:r>
          </w:p>
        </w:tc>
      </w:tr>
      <w:tr w:rsidR="002B3741" w:rsidRPr="00900A73" w14:paraId="052FAE19" w14:textId="77777777" w:rsidTr="002B3741">
        <w:trPr>
          <w:trHeight w:val="20"/>
        </w:trPr>
        <w:tc>
          <w:tcPr>
            <w:tcW w:w="3749" w:type="pct"/>
          </w:tcPr>
          <w:p w14:paraId="0ED4545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Derivados de Productos Financieros</w:t>
            </w:r>
          </w:p>
        </w:tc>
        <w:tc>
          <w:tcPr>
            <w:tcW w:w="1251" w:type="pct"/>
          </w:tcPr>
          <w:p w14:paraId="02B56D53" w14:textId="70462284" w:rsidR="002B3741" w:rsidRPr="00900A73" w:rsidRDefault="002B3741" w:rsidP="002076E2">
            <w:pPr>
              <w:widowControl w:val="0"/>
              <w:pBdr>
                <w:top w:val="nil"/>
                <w:left w:val="nil"/>
                <w:bottom w:val="nil"/>
                <w:right w:val="nil"/>
                <w:between w:val="nil"/>
              </w:pBdr>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2,7</w:t>
            </w:r>
            <w:r w:rsidR="006B6141" w:rsidRPr="00900A73">
              <w:rPr>
                <w:rFonts w:ascii="Arial" w:eastAsia="Arial" w:hAnsi="Arial"/>
                <w:color w:val="000000"/>
                <w:sz w:val="20"/>
                <w:szCs w:val="20"/>
                <w:lang w:val="es-ES" w:eastAsia="es-MX"/>
              </w:rPr>
              <w:t>91</w:t>
            </w:r>
            <w:r w:rsidRPr="00900A73">
              <w:rPr>
                <w:rFonts w:ascii="Arial" w:eastAsia="Arial" w:hAnsi="Arial"/>
                <w:color w:val="000000"/>
                <w:sz w:val="20"/>
                <w:szCs w:val="20"/>
                <w:lang w:val="es-ES" w:eastAsia="es-MX"/>
              </w:rPr>
              <w:t>.00</w:t>
            </w:r>
          </w:p>
        </w:tc>
      </w:tr>
      <w:tr w:rsidR="002B3741" w:rsidRPr="00900A73" w14:paraId="43CA07BB" w14:textId="77777777" w:rsidTr="002B3741">
        <w:trPr>
          <w:trHeight w:val="20"/>
        </w:trPr>
        <w:tc>
          <w:tcPr>
            <w:tcW w:w="3749" w:type="pct"/>
          </w:tcPr>
          <w:p w14:paraId="1136974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Arrendamiento, enajenación, uso y explotación de Bienes Muebles del dominio privado del Municipio</w:t>
            </w:r>
          </w:p>
        </w:tc>
        <w:tc>
          <w:tcPr>
            <w:tcW w:w="1251" w:type="pct"/>
          </w:tcPr>
          <w:p w14:paraId="76555C7C" w14:textId="77777777" w:rsidR="002B3741" w:rsidRPr="00900A73" w:rsidRDefault="002B3741" w:rsidP="002076E2">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16459056" w14:textId="77777777" w:rsidTr="002B3741">
        <w:trPr>
          <w:trHeight w:val="20"/>
        </w:trPr>
        <w:tc>
          <w:tcPr>
            <w:tcW w:w="3749" w:type="pct"/>
          </w:tcPr>
          <w:p w14:paraId="38976AC6"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Arrendamiento, enajenación, uso y explotación de Bienes Inmuebles del dominio privado del Municipio</w:t>
            </w:r>
          </w:p>
        </w:tc>
        <w:tc>
          <w:tcPr>
            <w:tcW w:w="1251" w:type="pct"/>
          </w:tcPr>
          <w:p w14:paraId="23E7FF9B" w14:textId="77777777" w:rsidR="002B3741" w:rsidRPr="00900A73" w:rsidRDefault="002B3741" w:rsidP="002076E2">
            <w:pPr>
              <w:widowControl w:val="0"/>
              <w:pBdr>
                <w:top w:val="nil"/>
                <w:left w:val="nil"/>
                <w:bottom w:val="nil"/>
                <w:right w:val="nil"/>
                <w:between w:val="nil"/>
              </w:pBdr>
              <w:tabs>
                <w:tab w:val="left" w:pos="5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0.00</w:t>
            </w:r>
          </w:p>
        </w:tc>
      </w:tr>
      <w:tr w:rsidR="002B3741" w:rsidRPr="00900A73" w14:paraId="4C87364F" w14:textId="77777777" w:rsidTr="002B3741">
        <w:trPr>
          <w:trHeight w:val="20"/>
        </w:trPr>
        <w:tc>
          <w:tcPr>
            <w:tcW w:w="3749" w:type="pct"/>
          </w:tcPr>
          <w:p w14:paraId="05BF017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Productos no Comprendidos en la Ley de Ingresos Vigente, Causados en Ejercicios Fiscales Anteriores Pendientes de Liquidación o Pago</w:t>
            </w:r>
          </w:p>
        </w:tc>
        <w:tc>
          <w:tcPr>
            <w:tcW w:w="1251" w:type="pct"/>
          </w:tcPr>
          <w:p w14:paraId="0BA8245A" w14:textId="77777777" w:rsidR="002B3741" w:rsidRPr="00900A73" w:rsidRDefault="002B3741" w:rsidP="002076E2">
            <w:pPr>
              <w:widowControl w:val="0"/>
              <w:pBdr>
                <w:top w:val="nil"/>
                <w:left w:val="nil"/>
                <w:bottom w:val="nil"/>
                <w:right w:val="nil"/>
                <w:between w:val="nil"/>
              </w:pBdr>
              <w:tabs>
                <w:tab w:val="left" w:pos="55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bl>
    <w:p w14:paraId="7A3B5594"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514F09A6"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9.- </w:t>
      </w:r>
      <w:r w:rsidRPr="00900A73">
        <w:rPr>
          <w:rFonts w:ascii="Arial" w:eastAsia="Arial" w:hAnsi="Arial"/>
          <w:color w:val="000000"/>
          <w:sz w:val="20"/>
          <w:szCs w:val="20"/>
          <w:lang w:val="es-ES" w:eastAsia="es-MX"/>
        </w:rPr>
        <w:t>Los ingresos que la Hacienda Pública Municipal percibirá por concepto de aprovechamientos, se clasificarán de la siguiente manera:</w:t>
      </w:r>
    </w:p>
    <w:p w14:paraId="6031FAF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312"/>
      </w:tblGrid>
      <w:tr w:rsidR="002B3741" w:rsidRPr="00900A73" w14:paraId="1549940C" w14:textId="77777777" w:rsidTr="00866779">
        <w:tc>
          <w:tcPr>
            <w:tcW w:w="3731" w:type="pct"/>
            <w:shd w:val="clear" w:color="auto" w:fill="D9D9D9"/>
          </w:tcPr>
          <w:p w14:paraId="7875075A" w14:textId="77777777" w:rsidR="002B3741" w:rsidRPr="00900A73" w:rsidRDefault="002B3741" w:rsidP="00900A73">
            <w:pPr>
              <w:widowControl w:val="0"/>
              <w:spacing w:after="0" w:line="360" w:lineRule="auto"/>
              <w:jc w:val="both"/>
              <w:rPr>
                <w:rFonts w:ascii="Arial" w:eastAsia="Arial" w:hAnsi="Arial"/>
                <w:b/>
                <w:bCs/>
                <w:color w:val="000000"/>
                <w:sz w:val="20"/>
                <w:szCs w:val="20"/>
                <w:lang w:val="es-ES" w:eastAsia="es-MX"/>
              </w:rPr>
            </w:pPr>
            <w:r w:rsidRPr="00900A73">
              <w:rPr>
                <w:rFonts w:ascii="Arial" w:eastAsia="Arial" w:hAnsi="Arial"/>
                <w:b/>
                <w:color w:val="000000"/>
                <w:sz w:val="20"/>
                <w:szCs w:val="20"/>
                <w:lang w:val="es-ES" w:eastAsia="es-MX"/>
              </w:rPr>
              <w:t>Aprovechamientos</w:t>
            </w:r>
          </w:p>
        </w:tc>
        <w:tc>
          <w:tcPr>
            <w:tcW w:w="1269" w:type="pct"/>
            <w:shd w:val="clear" w:color="auto" w:fill="D9D9D9"/>
          </w:tcPr>
          <w:p w14:paraId="3CA8080C" w14:textId="70D49C1B" w:rsidR="002B3741" w:rsidRPr="00900A73" w:rsidRDefault="002B3741" w:rsidP="00900A73">
            <w:pPr>
              <w:widowControl w:val="0"/>
              <w:spacing w:after="0" w:line="360" w:lineRule="auto"/>
              <w:jc w:val="center"/>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2</w:t>
            </w:r>
            <w:r w:rsidR="006B6141" w:rsidRPr="00900A73">
              <w:rPr>
                <w:rFonts w:ascii="Arial" w:eastAsia="Arial" w:hAnsi="Arial"/>
                <w:b/>
                <w:color w:val="000000"/>
                <w:sz w:val="20"/>
                <w:szCs w:val="20"/>
                <w:lang w:val="es-ES" w:eastAsia="es-MX"/>
              </w:rPr>
              <w:t>9</w:t>
            </w:r>
            <w:r w:rsidRPr="00900A73">
              <w:rPr>
                <w:rFonts w:ascii="Arial" w:eastAsia="Arial" w:hAnsi="Arial"/>
                <w:b/>
                <w:color w:val="000000"/>
                <w:sz w:val="20"/>
                <w:szCs w:val="20"/>
                <w:lang w:val="es-ES" w:eastAsia="es-MX"/>
              </w:rPr>
              <w:t>,</w:t>
            </w:r>
            <w:r w:rsidR="006B6141" w:rsidRPr="00900A73">
              <w:rPr>
                <w:rFonts w:ascii="Arial" w:eastAsia="Arial" w:hAnsi="Arial"/>
                <w:b/>
                <w:color w:val="000000"/>
                <w:sz w:val="20"/>
                <w:szCs w:val="20"/>
                <w:lang w:val="es-ES" w:eastAsia="es-MX"/>
              </w:rPr>
              <w:t>181</w:t>
            </w:r>
            <w:r w:rsidRPr="00900A73">
              <w:rPr>
                <w:rFonts w:ascii="Arial" w:eastAsia="Arial" w:hAnsi="Arial"/>
                <w:b/>
                <w:color w:val="000000"/>
                <w:sz w:val="20"/>
                <w:szCs w:val="20"/>
                <w:lang w:val="es-ES" w:eastAsia="es-MX"/>
              </w:rPr>
              <w:t>.00</w:t>
            </w:r>
          </w:p>
        </w:tc>
      </w:tr>
      <w:tr w:rsidR="002B3741" w:rsidRPr="00900A73" w14:paraId="50FE4A69" w14:textId="77777777" w:rsidTr="00866779">
        <w:tc>
          <w:tcPr>
            <w:tcW w:w="3731" w:type="pct"/>
            <w:shd w:val="clear" w:color="000000" w:fill="FFFFFF"/>
            <w:vAlign w:val="center"/>
            <w:hideMark/>
          </w:tcPr>
          <w:p w14:paraId="42C1421D" w14:textId="77777777" w:rsidR="002B3741" w:rsidRPr="00900A73" w:rsidRDefault="002B3741" w:rsidP="00900A73">
            <w:pPr>
              <w:widowControl w:val="0"/>
              <w:spacing w:after="0" w:line="360" w:lineRule="auto"/>
              <w:jc w:val="both"/>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Aprovechamientos</w:t>
            </w:r>
          </w:p>
        </w:tc>
        <w:tc>
          <w:tcPr>
            <w:tcW w:w="1269" w:type="pct"/>
            <w:shd w:val="clear" w:color="000000" w:fill="FFFFFF"/>
            <w:vAlign w:val="center"/>
          </w:tcPr>
          <w:p w14:paraId="0B121D64" w14:textId="051A2ABA" w:rsidR="002B3741" w:rsidRPr="00900A73" w:rsidRDefault="002B3741" w:rsidP="00900A73">
            <w:pPr>
              <w:widowControl w:val="0"/>
              <w:spacing w:after="0" w:line="360" w:lineRule="auto"/>
              <w:jc w:val="center"/>
              <w:rPr>
                <w:rFonts w:ascii="Arial" w:eastAsia="Arial" w:hAnsi="Arial"/>
                <w:b/>
                <w:bCs/>
                <w:color w:val="000000"/>
                <w:sz w:val="20"/>
                <w:szCs w:val="20"/>
                <w:lang w:val="es-ES" w:eastAsia="es-MX"/>
              </w:rPr>
            </w:pPr>
            <w:r w:rsidRPr="00900A73">
              <w:rPr>
                <w:rFonts w:ascii="Arial" w:eastAsia="Arial" w:hAnsi="Arial"/>
                <w:b/>
                <w:color w:val="000000"/>
                <w:sz w:val="20"/>
                <w:szCs w:val="20"/>
                <w:lang w:val="es-ES" w:eastAsia="es-MX"/>
              </w:rPr>
              <w:t xml:space="preserve">$            </w:t>
            </w:r>
            <w:r w:rsidR="00FA3722">
              <w:rPr>
                <w:rFonts w:ascii="Arial" w:eastAsia="Arial" w:hAnsi="Arial"/>
                <w:b/>
                <w:color w:val="000000"/>
                <w:sz w:val="20"/>
                <w:szCs w:val="20"/>
                <w:lang w:val="es-ES" w:eastAsia="es-MX"/>
              </w:rPr>
              <w:t xml:space="preserve"> </w:t>
            </w:r>
            <w:r w:rsidRPr="00900A73">
              <w:rPr>
                <w:rFonts w:ascii="Arial" w:eastAsia="Arial" w:hAnsi="Arial"/>
                <w:b/>
                <w:color w:val="000000"/>
                <w:sz w:val="20"/>
                <w:szCs w:val="20"/>
                <w:lang w:val="es-ES" w:eastAsia="es-MX"/>
              </w:rPr>
              <w:t xml:space="preserve">  2</w:t>
            </w:r>
            <w:r w:rsidR="006B6141" w:rsidRPr="00900A73">
              <w:rPr>
                <w:rFonts w:ascii="Arial" w:eastAsia="Arial" w:hAnsi="Arial"/>
                <w:b/>
                <w:color w:val="000000"/>
                <w:sz w:val="20"/>
                <w:szCs w:val="20"/>
                <w:lang w:val="es-ES" w:eastAsia="es-MX"/>
              </w:rPr>
              <w:t>9</w:t>
            </w:r>
            <w:r w:rsidRPr="00900A73">
              <w:rPr>
                <w:rFonts w:ascii="Arial" w:eastAsia="Arial" w:hAnsi="Arial"/>
                <w:b/>
                <w:color w:val="000000"/>
                <w:sz w:val="20"/>
                <w:szCs w:val="20"/>
                <w:lang w:val="es-ES" w:eastAsia="es-MX"/>
              </w:rPr>
              <w:t>,</w:t>
            </w:r>
            <w:r w:rsidR="006B6141" w:rsidRPr="00900A73">
              <w:rPr>
                <w:rFonts w:ascii="Arial" w:eastAsia="Arial" w:hAnsi="Arial"/>
                <w:b/>
                <w:color w:val="000000"/>
                <w:sz w:val="20"/>
                <w:szCs w:val="20"/>
                <w:lang w:val="es-ES" w:eastAsia="es-MX"/>
              </w:rPr>
              <w:t>181</w:t>
            </w:r>
            <w:r w:rsidRPr="00900A73">
              <w:rPr>
                <w:rFonts w:ascii="Arial" w:eastAsia="Arial" w:hAnsi="Arial"/>
                <w:b/>
                <w:color w:val="000000"/>
                <w:sz w:val="20"/>
                <w:szCs w:val="20"/>
                <w:lang w:val="es-ES" w:eastAsia="es-MX"/>
              </w:rPr>
              <w:t>.00</w:t>
            </w:r>
          </w:p>
        </w:tc>
      </w:tr>
      <w:tr w:rsidR="002B3741" w:rsidRPr="00900A73" w14:paraId="085CE747" w14:textId="77777777" w:rsidTr="00866779">
        <w:tc>
          <w:tcPr>
            <w:tcW w:w="3731" w:type="pct"/>
            <w:shd w:val="clear" w:color="000000" w:fill="FFFFFF"/>
            <w:vAlign w:val="center"/>
          </w:tcPr>
          <w:p w14:paraId="46798A1E" w14:textId="77777777" w:rsidR="002B3741" w:rsidRPr="00900A73" w:rsidRDefault="002B3741" w:rsidP="00900A73">
            <w:pPr>
              <w:widowControl w:val="0"/>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Multas por infracciones a las leyes y reglamentos municipales y otros ordenamientos aplicables</w:t>
            </w:r>
          </w:p>
        </w:tc>
        <w:tc>
          <w:tcPr>
            <w:tcW w:w="1269" w:type="pct"/>
            <w:shd w:val="clear" w:color="000000" w:fill="FFFFFF"/>
            <w:vAlign w:val="center"/>
          </w:tcPr>
          <w:p w14:paraId="3FB470EC" w14:textId="2D2F27E4" w:rsidR="002B3741" w:rsidRPr="00900A73" w:rsidRDefault="002B3741" w:rsidP="002076E2">
            <w:pPr>
              <w:widowControl w:val="0"/>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FA3722">
              <w:rPr>
                <w:rFonts w:ascii="Arial" w:eastAsia="Arial" w:hAnsi="Arial"/>
                <w:color w:val="000000"/>
                <w:sz w:val="20"/>
                <w:szCs w:val="20"/>
                <w:lang w:val="es-ES" w:eastAsia="es-MX"/>
              </w:rPr>
              <w:t xml:space="preserve">    </w:t>
            </w:r>
            <w:r w:rsidRPr="00900A73">
              <w:rPr>
                <w:rFonts w:ascii="Arial" w:eastAsia="Arial" w:hAnsi="Arial"/>
                <w:color w:val="000000"/>
                <w:sz w:val="20"/>
                <w:szCs w:val="20"/>
                <w:lang w:val="es-ES" w:eastAsia="es-MX"/>
              </w:rPr>
              <w:t xml:space="preserve">      2</w:t>
            </w:r>
            <w:r w:rsidR="006B6141" w:rsidRPr="00900A73">
              <w:rPr>
                <w:rFonts w:ascii="Arial" w:eastAsia="Arial" w:hAnsi="Arial"/>
                <w:color w:val="000000"/>
                <w:sz w:val="20"/>
                <w:szCs w:val="20"/>
                <w:lang w:val="es-ES" w:eastAsia="es-MX"/>
              </w:rPr>
              <w:t>9</w:t>
            </w:r>
            <w:r w:rsidRPr="00900A73">
              <w:rPr>
                <w:rFonts w:ascii="Arial" w:eastAsia="Arial" w:hAnsi="Arial"/>
                <w:color w:val="000000"/>
                <w:sz w:val="20"/>
                <w:szCs w:val="20"/>
                <w:lang w:val="es-ES" w:eastAsia="es-MX"/>
              </w:rPr>
              <w:t>,</w:t>
            </w:r>
            <w:r w:rsidR="006B6141" w:rsidRPr="00900A73">
              <w:rPr>
                <w:rFonts w:ascii="Arial" w:eastAsia="Arial" w:hAnsi="Arial"/>
                <w:color w:val="000000"/>
                <w:sz w:val="20"/>
                <w:szCs w:val="20"/>
                <w:lang w:val="es-ES" w:eastAsia="es-MX"/>
              </w:rPr>
              <w:t>181</w:t>
            </w:r>
            <w:r w:rsidRPr="00900A73">
              <w:rPr>
                <w:rFonts w:ascii="Arial" w:eastAsia="Arial" w:hAnsi="Arial"/>
                <w:color w:val="000000"/>
                <w:sz w:val="20"/>
                <w:szCs w:val="20"/>
                <w:lang w:val="es-ES" w:eastAsia="es-MX"/>
              </w:rPr>
              <w:t>.00</w:t>
            </w:r>
          </w:p>
        </w:tc>
      </w:tr>
      <w:tr w:rsidR="002B3741" w:rsidRPr="00900A73" w14:paraId="49E058BC" w14:textId="77777777" w:rsidTr="00866779">
        <w:tc>
          <w:tcPr>
            <w:tcW w:w="3731" w:type="pct"/>
            <w:shd w:val="clear" w:color="000000" w:fill="FFFFFF"/>
            <w:vAlign w:val="center"/>
          </w:tcPr>
          <w:p w14:paraId="6F214497" w14:textId="77777777" w:rsidR="002B3741" w:rsidRPr="00900A73" w:rsidRDefault="002B3741" w:rsidP="00900A73">
            <w:pPr>
              <w:widowControl w:val="0"/>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Otros Aprovechamientos</w:t>
            </w:r>
          </w:p>
        </w:tc>
        <w:tc>
          <w:tcPr>
            <w:tcW w:w="1269" w:type="pct"/>
            <w:shd w:val="clear" w:color="000000" w:fill="FFFFFF"/>
            <w:vAlign w:val="center"/>
          </w:tcPr>
          <w:p w14:paraId="6A513EBA" w14:textId="77777777" w:rsidR="002B3741" w:rsidRPr="00900A73" w:rsidRDefault="002B3741" w:rsidP="002076E2">
            <w:pPr>
              <w:widowControl w:val="0"/>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03656531" w14:textId="77777777" w:rsidTr="00866779">
        <w:tc>
          <w:tcPr>
            <w:tcW w:w="3731" w:type="pct"/>
            <w:shd w:val="clear" w:color="000000" w:fill="FFFFFF"/>
            <w:vAlign w:val="center"/>
            <w:hideMark/>
          </w:tcPr>
          <w:p w14:paraId="3EB9051B" w14:textId="77777777" w:rsidR="002B3741" w:rsidRPr="00900A73" w:rsidRDefault="002B3741" w:rsidP="00900A73">
            <w:pPr>
              <w:widowControl w:val="0"/>
              <w:spacing w:after="0" w:line="360" w:lineRule="auto"/>
              <w:jc w:val="both"/>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 xml:space="preserve">Aprovechamientos Patrimoniales </w:t>
            </w:r>
          </w:p>
        </w:tc>
        <w:tc>
          <w:tcPr>
            <w:tcW w:w="1269" w:type="pct"/>
            <w:shd w:val="clear" w:color="000000" w:fill="FFFFFF"/>
            <w:vAlign w:val="center"/>
          </w:tcPr>
          <w:p w14:paraId="5B05AA5C" w14:textId="77777777" w:rsidR="002B3741" w:rsidRPr="00900A73" w:rsidRDefault="002B3741" w:rsidP="002076E2">
            <w:pPr>
              <w:widowControl w:val="0"/>
              <w:spacing w:after="0" w:line="360" w:lineRule="auto"/>
              <w:jc w:val="right"/>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w:t>
            </w:r>
            <w:r w:rsidRPr="00900A73">
              <w:rPr>
                <w:rFonts w:ascii="Arial" w:eastAsia="Arial" w:hAnsi="Arial"/>
                <w:b/>
                <w:bCs/>
                <w:color w:val="000000"/>
                <w:sz w:val="20"/>
                <w:szCs w:val="20"/>
                <w:lang w:val="es-ES" w:eastAsia="es-MX"/>
              </w:rPr>
              <w:tab/>
              <w:t xml:space="preserve">           0.00</w:t>
            </w:r>
          </w:p>
        </w:tc>
      </w:tr>
      <w:tr w:rsidR="002B3741" w:rsidRPr="00900A73" w14:paraId="35313DB5" w14:textId="77777777" w:rsidTr="00866779">
        <w:tc>
          <w:tcPr>
            <w:tcW w:w="3731" w:type="pct"/>
            <w:shd w:val="clear" w:color="000000" w:fill="FFFFFF"/>
            <w:vAlign w:val="center"/>
            <w:hideMark/>
          </w:tcPr>
          <w:p w14:paraId="63E7AD24" w14:textId="77777777" w:rsidR="002B3741" w:rsidRPr="00900A73" w:rsidRDefault="002B3741" w:rsidP="00900A73">
            <w:pPr>
              <w:widowControl w:val="0"/>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Aprovechamientos Patrimoniales</w:t>
            </w:r>
          </w:p>
        </w:tc>
        <w:tc>
          <w:tcPr>
            <w:tcW w:w="1269" w:type="pct"/>
            <w:shd w:val="clear" w:color="000000" w:fill="FFFFFF"/>
            <w:vAlign w:val="center"/>
          </w:tcPr>
          <w:p w14:paraId="49EA1B97" w14:textId="77777777" w:rsidR="002B3741" w:rsidRPr="00900A73" w:rsidRDefault="002B3741" w:rsidP="002076E2">
            <w:pPr>
              <w:widowControl w:val="0"/>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67BA9BA2" w14:textId="77777777" w:rsidTr="00866779">
        <w:tc>
          <w:tcPr>
            <w:tcW w:w="3731" w:type="pct"/>
            <w:shd w:val="clear" w:color="auto" w:fill="auto"/>
            <w:vAlign w:val="center"/>
          </w:tcPr>
          <w:p w14:paraId="3D191807" w14:textId="77777777" w:rsidR="002B3741" w:rsidRPr="00900A73" w:rsidRDefault="002B3741" w:rsidP="00900A73">
            <w:pPr>
              <w:widowControl w:val="0"/>
              <w:spacing w:after="0" w:line="360" w:lineRule="auto"/>
              <w:jc w:val="both"/>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Accesorios de Aprovechamientos</w:t>
            </w:r>
          </w:p>
        </w:tc>
        <w:tc>
          <w:tcPr>
            <w:tcW w:w="1269" w:type="pct"/>
            <w:shd w:val="clear" w:color="auto" w:fill="auto"/>
            <w:vAlign w:val="center"/>
          </w:tcPr>
          <w:p w14:paraId="06BBA521" w14:textId="77777777" w:rsidR="002B3741" w:rsidRPr="00900A73" w:rsidRDefault="002B3741" w:rsidP="002076E2">
            <w:pPr>
              <w:widowControl w:val="0"/>
              <w:spacing w:after="0" w:line="360" w:lineRule="auto"/>
              <w:jc w:val="right"/>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w:t>
            </w:r>
            <w:r w:rsidRPr="00900A73">
              <w:rPr>
                <w:rFonts w:ascii="Arial" w:eastAsia="Arial" w:hAnsi="Arial"/>
                <w:b/>
                <w:bCs/>
                <w:color w:val="000000"/>
                <w:sz w:val="20"/>
                <w:szCs w:val="20"/>
                <w:lang w:val="es-ES" w:eastAsia="es-MX"/>
              </w:rPr>
              <w:tab/>
              <w:t xml:space="preserve">           0.00</w:t>
            </w:r>
          </w:p>
        </w:tc>
      </w:tr>
      <w:tr w:rsidR="002B3741" w:rsidRPr="00900A73" w14:paraId="1E05C211" w14:textId="77777777" w:rsidTr="00866779">
        <w:tc>
          <w:tcPr>
            <w:tcW w:w="3731" w:type="pct"/>
            <w:shd w:val="clear" w:color="auto" w:fill="auto"/>
            <w:vAlign w:val="center"/>
          </w:tcPr>
          <w:p w14:paraId="7CF17BFA" w14:textId="77777777" w:rsidR="002B3741" w:rsidRPr="00900A73" w:rsidRDefault="002B3741" w:rsidP="00900A73">
            <w:pPr>
              <w:widowControl w:val="0"/>
              <w:spacing w:after="0" w:line="360" w:lineRule="auto"/>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Gastos de ejecución</w:t>
            </w:r>
            <w:r w:rsidRPr="00900A73">
              <w:rPr>
                <w:rFonts w:ascii="Arial" w:eastAsia="Arial" w:hAnsi="Arial"/>
                <w:color w:val="000000"/>
                <w:sz w:val="20"/>
                <w:szCs w:val="20"/>
                <w:lang w:val="es-ES" w:eastAsia="es-MX"/>
              </w:rPr>
              <w:tab/>
            </w:r>
          </w:p>
        </w:tc>
        <w:tc>
          <w:tcPr>
            <w:tcW w:w="1269" w:type="pct"/>
            <w:shd w:val="clear" w:color="auto" w:fill="auto"/>
            <w:vAlign w:val="center"/>
          </w:tcPr>
          <w:p w14:paraId="572E15C3" w14:textId="77777777" w:rsidR="002B3741" w:rsidRPr="00900A73" w:rsidRDefault="002B3741" w:rsidP="002076E2">
            <w:pPr>
              <w:widowControl w:val="0"/>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1A4FD4EF" w14:textId="77777777" w:rsidTr="00866779">
        <w:tc>
          <w:tcPr>
            <w:tcW w:w="3731" w:type="pct"/>
            <w:shd w:val="clear" w:color="auto" w:fill="auto"/>
            <w:vAlign w:val="center"/>
          </w:tcPr>
          <w:p w14:paraId="5DF2D30D" w14:textId="77777777" w:rsidR="002B3741" w:rsidRPr="00900A73" w:rsidRDefault="002B3741" w:rsidP="00900A73">
            <w:pPr>
              <w:widowControl w:val="0"/>
              <w:spacing w:after="0" w:line="360" w:lineRule="auto"/>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Actualización de aprovechamientos</w:t>
            </w:r>
          </w:p>
        </w:tc>
        <w:tc>
          <w:tcPr>
            <w:tcW w:w="1269" w:type="pct"/>
            <w:shd w:val="clear" w:color="auto" w:fill="auto"/>
            <w:vAlign w:val="center"/>
          </w:tcPr>
          <w:p w14:paraId="47978180" w14:textId="77777777" w:rsidR="002B3741" w:rsidRPr="00900A73" w:rsidRDefault="002B3741" w:rsidP="002076E2">
            <w:pPr>
              <w:widowControl w:val="0"/>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Pr="00900A73">
              <w:rPr>
                <w:rFonts w:ascii="Arial" w:eastAsia="Arial" w:hAnsi="Arial"/>
                <w:color w:val="000000"/>
                <w:sz w:val="20"/>
                <w:szCs w:val="20"/>
                <w:lang w:val="es-ES" w:eastAsia="es-MX"/>
              </w:rPr>
              <w:tab/>
              <w:t xml:space="preserve">              0.00</w:t>
            </w:r>
          </w:p>
        </w:tc>
      </w:tr>
      <w:tr w:rsidR="002B3741" w:rsidRPr="00900A73" w14:paraId="0D5511E6" w14:textId="77777777" w:rsidTr="00866779">
        <w:tc>
          <w:tcPr>
            <w:tcW w:w="3731" w:type="pct"/>
            <w:shd w:val="clear" w:color="000000" w:fill="FFFFFF"/>
            <w:vAlign w:val="center"/>
            <w:hideMark/>
          </w:tcPr>
          <w:p w14:paraId="03A8889B" w14:textId="77777777" w:rsidR="002B3741" w:rsidRPr="00900A73" w:rsidRDefault="002B3741" w:rsidP="00900A73">
            <w:pPr>
              <w:widowControl w:val="0"/>
              <w:spacing w:after="0" w:line="360" w:lineRule="auto"/>
              <w:jc w:val="both"/>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Aprovechamientos no comprendidos en la Ley de Ingresos vigente, causados en ejercicios fiscales anteriores pendientes de liquidación o pago</w:t>
            </w:r>
          </w:p>
        </w:tc>
        <w:tc>
          <w:tcPr>
            <w:tcW w:w="1269" w:type="pct"/>
            <w:shd w:val="clear" w:color="auto" w:fill="auto"/>
            <w:vAlign w:val="center"/>
          </w:tcPr>
          <w:p w14:paraId="738D4320" w14:textId="77777777" w:rsidR="002B3741" w:rsidRPr="00900A73" w:rsidRDefault="002B3741" w:rsidP="002076E2">
            <w:pPr>
              <w:widowControl w:val="0"/>
              <w:spacing w:after="0" w:line="360" w:lineRule="auto"/>
              <w:jc w:val="right"/>
              <w:rPr>
                <w:rFonts w:ascii="Arial" w:eastAsia="Arial" w:hAnsi="Arial"/>
                <w:b/>
                <w:bCs/>
                <w:color w:val="000000"/>
                <w:sz w:val="20"/>
                <w:szCs w:val="20"/>
                <w:lang w:val="es-ES" w:eastAsia="es-MX"/>
              </w:rPr>
            </w:pPr>
            <w:r w:rsidRPr="00900A73">
              <w:rPr>
                <w:rFonts w:ascii="Arial" w:eastAsia="Arial" w:hAnsi="Arial"/>
                <w:b/>
                <w:bCs/>
                <w:color w:val="000000"/>
                <w:sz w:val="20"/>
                <w:szCs w:val="20"/>
                <w:lang w:val="es-ES" w:eastAsia="es-MX"/>
              </w:rPr>
              <w:t xml:space="preserve">   $</w:t>
            </w:r>
            <w:r w:rsidRPr="00900A73">
              <w:rPr>
                <w:rFonts w:ascii="Arial" w:eastAsia="Arial" w:hAnsi="Arial"/>
                <w:b/>
                <w:bCs/>
                <w:color w:val="000000"/>
                <w:sz w:val="20"/>
                <w:szCs w:val="20"/>
                <w:lang w:val="es-ES" w:eastAsia="es-MX"/>
              </w:rPr>
              <w:tab/>
              <w:t xml:space="preserve">              0.00</w:t>
            </w:r>
          </w:p>
        </w:tc>
      </w:tr>
    </w:tbl>
    <w:p w14:paraId="139C4DF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6E68CDE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10.- </w:t>
      </w:r>
      <w:r w:rsidRPr="00900A73">
        <w:rPr>
          <w:rFonts w:ascii="Arial" w:eastAsia="Arial" w:hAnsi="Arial"/>
          <w:color w:val="000000"/>
          <w:sz w:val="20"/>
          <w:szCs w:val="20"/>
          <w:lang w:val="es-ES" w:eastAsia="es-MX"/>
        </w:rPr>
        <w:t>Los ingresos por Ventas de Bienes, Prestación de Servicios y Otros Ingresos que podrá percibir la Hacienda Pública Municipal serán los siguientes:</w:t>
      </w:r>
    </w:p>
    <w:p w14:paraId="45B025CE" w14:textId="4C7F310C" w:rsidR="002B3741" w:rsidRPr="00900A73" w:rsidRDefault="00CD24BC"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Pr>
          <w:rFonts w:ascii="Arial" w:eastAsia="Arial" w:hAnsi="Arial"/>
          <w:color w:val="000000"/>
          <w:sz w:val="20"/>
          <w:szCs w:val="20"/>
          <w:lang w:val="es-ES" w:eastAsia="es-MX"/>
        </w:rPr>
        <w:br w:type="column"/>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58"/>
        <w:gridCol w:w="2453"/>
      </w:tblGrid>
      <w:tr w:rsidR="002B3741" w:rsidRPr="00900A73" w14:paraId="3BEEB8D7" w14:textId="77777777" w:rsidTr="007D1FEF">
        <w:trPr>
          <w:trHeight w:val="20"/>
        </w:trPr>
        <w:tc>
          <w:tcPr>
            <w:tcW w:w="3654" w:type="pct"/>
            <w:shd w:val="clear" w:color="auto" w:fill="D9D9D9"/>
          </w:tcPr>
          <w:p w14:paraId="11A738AA"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Ingresos por Ventas de Bienes, Prestación de Servicios y Otros Ingresos</w:t>
            </w:r>
          </w:p>
        </w:tc>
        <w:tc>
          <w:tcPr>
            <w:tcW w:w="1346" w:type="pct"/>
            <w:shd w:val="clear" w:color="auto" w:fill="D9D9D9"/>
          </w:tcPr>
          <w:p w14:paraId="573589A7" w14:textId="77777777" w:rsidR="002B3741" w:rsidRPr="00900A73" w:rsidRDefault="002B3741" w:rsidP="002076E2">
            <w:pPr>
              <w:widowControl w:val="0"/>
              <w:pBdr>
                <w:top w:val="nil"/>
                <w:left w:val="nil"/>
                <w:bottom w:val="nil"/>
                <w:right w:val="nil"/>
                <w:between w:val="nil"/>
              </w:pBdr>
              <w:tabs>
                <w:tab w:val="left" w:pos="1058"/>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r w:rsidR="002B3741" w:rsidRPr="00900A73" w14:paraId="4832DB74" w14:textId="77777777" w:rsidTr="007D1FEF">
        <w:trPr>
          <w:trHeight w:val="20"/>
        </w:trPr>
        <w:tc>
          <w:tcPr>
            <w:tcW w:w="3654" w:type="pct"/>
          </w:tcPr>
          <w:p w14:paraId="5035DC8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Ingresos por venta de bienes y prestación de servicios de entidades paraestatales y fideicomisos no empresariales y no financieros </w:t>
            </w:r>
          </w:p>
        </w:tc>
        <w:tc>
          <w:tcPr>
            <w:tcW w:w="1346" w:type="pct"/>
          </w:tcPr>
          <w:p w14:paraId="3D5A31BC" w14:textId="77777777" w:rsidR="002B3741" w:rsidRPr="00900A73" w:rsidRDefault="002B3741" w:rsidP="002076E2">
            <w:pPr>
              <w:widowControl w:val="0"/>
              <w:pBdr>
                <w:top w:val="nil"/>
                <w:left w:val="nil"/>
                <w:bottom w:val="nil"/>
                <w:right w:val="nil"/>
                <w:between w:val="nil"/>
              </w:pBdr>
              <w:tabs>
                <w:tab w:val="left" w:pos="105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r w:rsidR="002B3741" w:rsidRPr="00900A73" w14:paraId="0C0E79CB" w14:textId="77777777" w:rsidTr="007D1FEF">
        <w:trPr>
          <w:trHeight w:val="20"/>
        </w:trPr>
        <w:tc>
          <w:tcPr>
            <w:tcW w:w="3654" w:type="pct"/>
          </w:tcPr>
          <w:p w14:paraId="6219C90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Otros Ingresos </w:t>
            </w:r>
          </w:p>
        </w:tc>
        <w:tc>
          <w:tcPr>
            <w:tcW w:w="1346" w:type="pct"/>
          </w:tcPr>
          <w:p w14:paraId="12421439" w14:textId="77777777" w:rsidR="002B3741" w:rsidRPr="00900A73" w:rsidRDefault="002B3741" w:rsidP="002076E2">
            <w:pPr>
              <w:widowControl w:val="0"/>
              <w:pBdr>
                <w:top w:val="nil"/>
                <w:left w:val="nil"/>
                <w:bottom w:val="nil"/>
                <w:right w:val="nil"/>
                <w:between w:val="nil"/>
              </w:pBdr>
              <w:tabs>
                <w:tab w:val="left" w:pos="105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bl>
    <w:p w14:paraId="2CAC51B2" w14:textId="77777777" w:rsidR="007D1FEF" w:rsidRDefault="007D1FEF"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p>
    <w:p w14:paraId="50982305" w14:textId="4D21D400"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11.- </w:t>
      </w:r>
      <w:r w:rsidRPr="00900A73">
        <w:rPr>
          <w:rFonts w:ascii="Arial" w:eastAsia="Arial" w:hAnsi="Arial"/>
          <w:color w:val="000000"/>
          <w:sz w:val="20"/>
          <w:szCs w:val="20"/>
          <w:lang w:val="es-ES" w:eastAsia="es-MX"/>
        </w:rPr>
        <w:t>Los ingresos por Participaciones, Aportaciones, Convenios, Incentivos Derivados de la Colaboración Fiscal y Fondos Distintos de Aportaciones que percibirá la Hacienda Pública Municipal se integrarán por los siguientes conceptos:</w:t>
      </w:r>
    </w:p>
    <w:p w14:paraId="778467C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900A73" w14:paraId="605DBD68" w14:textId="77777777" w:rsidTr="007D1FEF">
        <w:trPr>
          <w:trHeight w:val="20"/>
        </w:trPr>
        <w:tc>
          <w:tcPr>
            <w:tcW w:w="3731" w:type="pct"/>
            <w:shd w:val="clear" w:color="auto" w:fill="D9D9D9"/>
          </w:tcPr>
          <w:p w14:paraId="2D8F46B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Participaciones</w:t>
            </w:r>
          </w:p>
        </w:tc>
        <w:tc>
          <w:tcPr>
            <w:tcW w:w="1269" w:type="pct"/>
            <w:shd w:val="clear" w:color="auto" w:fill="D9D9D9"/>
          </w:tcPr>
          <w:p w14:paraId="6C99B911" w14:textId="7BAB6B35" w:rsidR="002B3741" w:rsidRPr="00900A73" w:rsidRDefault="002B3741" w:rsidP="00900A73">
            <w:pPr>
              <w:widowControl w:val="0"/>
              <w:pBdr>
                <w:top w:val="nil"/>
                <w:left w:val="nil"/>
                <w:bottom w:val="nil"/>
                <w:right w:val="nil"/>
                <w:between w:val="nil"/>
              </w:pBdr>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21’</w:t>
            </w:r>
            <w:r w:rsidR="006B6141" w:rsidRPr="00900A73">
              <w:rPr>
                <w:rFonts w:ascii="Arial" w:eastAsia="Arial" w:hAnsi="Arial"/>
                <w:b/>
                <w:color w:val="000000"/>
                <w:sz w:val="20"/>
                <w:szCs w:val="20"/>
                <w:lang w:val="es-ES" w:eastAsia="es-MX"/>
              </w:rPr>
              <w:t>813</w:t>
            </w:r>
            <w:r w:rsidRPr="00900A73">
              <w:rPr>
                <w:rFonts w:ascii="Arial" w:eastAsia="Arial" w:hAnsi="Arial"/>
                <w:b/>
                <w:color w:val="000000"/>
                <w:sz w:val="20"/>
                <w:szCs w:val="20"/>
                <w:lang w:val="es-ES" w:eastAsia="es-MX"/>
              </w:rPr>
              <w:t>,</w:t>
            </w:r>
            <w:r w:rsidR="006B6141" w:rsidRPr="00900A73">
              <w:rPr>
                <w:rFonts w:ascii="Arial" w:eastAsia="Arial" w:hAnsi="Arial"/>
                <w:b/>
                <w:color w:val="000000"/>
                <w:sz w:val="20"/>
                <w:szCs w:val="20"/>
                <w:lang w:val="es-ES" w:eastAsia="es-MX"/>
              </w:rPr>
              <w:t>400</w:t>
            </w:r>
            <w:r w:rsidRPr="00900A73">
              <w:rPr>
                <w:rFonts w:ascii="Arial" w:eastAsia="Arial" w:hAnsi="Arial"/>
                <w:b/>
                <w:color w:val="000000"/>
                <w:sz w:val="20"/>
                <w:szCs w:val="20"/>
                <w:lang w:val="es-ES" w:eastAsia="es-MX"/>
              </w:rPr>
              <w:t>.00</w:t>
            </w:r>
          </w:p>
        </w:tc>
      </w:tr>
      <w:tr w:rsidR="002B3741" w:rsidRPr="00900A73" w14:paraId="13C90388" w14:textId="77777777" w:rsidTr="007D1FEF">
        <w:trPr>
          <w:trHeight w:val="20"/>
        </w:trPr>
        <w:tc>
          <w:tcPr>
            <w:tcW w:w="3731" w:type="pct"/>
          </w:tcPr>
          <w:p w14:paraId="07381EEB"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Participaciones Federales y Estatales</w:t>
            </w:r>
          </w:p>
        </w:tc>
        <w:tc>
          <w:tcPr>
            <w:tcW w:w="1269" w:type="pct"/>
          </w:tcPr>
          <w:p w14:paraId="0F06D293" w14:textId="7C5DDBA7" w:rsidR="002B3741" w:rsidRPr="00900A73" w:rsidRDefault="002B3741" w:rsidP="00900A73">
            <w:pPr>
              <w:widowControl w:val="0"/>
              <w:pBdr>
                <w:top w:val="nil"/>
                <w:left w:val="nil"/>
                <w:bottom w:val="nil"/>
                <w:right w:val="nil"/>
                <w:between w:val="nil"/>
              </w:pBdr>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21’</w:t>
            </w:r>
            <w:r w:rsidR="006B6141" w:rsidRPr="00900A73">
              <w:rPr>
                <w:rFonts w:ascii="Arial" w:eastAsia="Arial" w:hAnsi="Arial"/>
                <w:color w:val="000000"/>
                <w:sz w:val="20"/>
                <w:szCs w:val="20"/>
                <w:lang w:val="es-ES" w:eastAsia="es-MX"/>
              </w:rPr>
              <w:t>813</w:t>
            </w:r>
            <w:r w:rsidRPr="00900A73">
              <w:rPr>
                <w:rFonts w:ascii="Arial" w:eastAsia="Arial" w:hAnsi="Arial"/>
                <w:color w:val="000000"/>
                <w:sz w:val="20"/>
                <w:szCs w:val="20"/>
                <w:lang w:val="es-ES" w:eastAsia="es-MX"/>
              </w:rPr>
              <w:t>,</w:t>
            </w:r>
            <w:r w:rsidR="006B6141" w:rsidRPr="00900A73">
              <w:rPr>
                <w:rFonts w:ascii="Arial" w:eastAsia="Arial" w:hAnsi="Arial"/>
                <w:color w:val="000000"/>
                <w:sz w:val="20"/>
                <w:szCs w:val="20"/>
                <w:lang w:val="es-ES" w:eastAsia="es-MX"/>
              </w:rPr>
              <w:t>400</w:t>
            </w:r>
            <w:r w:rsidRPr="00900A73">
              <w:rPr>
                <w:rFonts w:ascii="Arial" w:eastAsia="Arial" w:hAnsi="Arial"/>
                <w:color w:val="000000"/>
                <w:sz w:val="20"/>
                <w:szCs w:val="20"/>
                <w:lang w:val="es-ES" w:eastAsia="es-MX"/>
              </w:rPr>
              <w:t>.00</w:t>
            </w:r>
          </w:p>
        </w:tc>
      </w:tr>
    </w:tbl>
    <w:p w14:paraId="21993FBD" w14:textId="77777777" w:rsidR="002B3741" w:rsidRPr="00900A73" w:rsidRDefault="002B3741" w:rsidP="00900A73">
      <w:pPr>
        <w:widowControl w:val="0"/>
        <w:spacing w:after="0" w:line="360" w:lineRule="auto"/>
        <w:jc w:val="center"/>
        <w:outlineLvl w:val="0"/>
        <w:rPr>
          <w:rFonts w:ascii="Arial" w:eastAsia="Arial" w:hAnsi="Arial"/>
          <w:b/>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900A73" w14:paraId="55B8ACBF" w14:textId="77777777" w:rsidTr="002B3741">
        <w:trPr>
          <w:trHeight w:val="20"/>
        </w:trPr>
        <w:tc>
          <w:tcPr>
            <w:tcW w:w="3731" w:type="pct"/>
            <w:shd w:val="clear" w:color="auto" w:fill="D9D9D9"/>
          </w:tcPr>
          <w:p w14:paraId="0F2F0C8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Aportaciones</w:t>
            </w:r>
          </w:p>
        </w:tc>
        <w:tc>
          <w:tcPr>
            <w:tcW w:w="1269" w:type="pct"/>
            <w:shd w:val="clear" w:color="auto" w:fill="D9D9D9"/>
            <w:vAlign w:val="center"/>
          </w:tcPr>
          <w:p w14:paraId="1AFF7859" w14:textId="7AA8ABD1" w:rsidR="002B3741" w:rsidRPr="00900A73" w:rsidRDefault="002B3741" w:rsidP="00900A73">
            <w:pPr>
              <w:widowControl w:val="0"/>
              <w:pBdr>
                <w:top w:val="nil"/>
                <w:left w:val="nil"/>
                <w:bottom w:val="nil"/>
                <w:right w:val="nil"/>
                <w:between w:val="nil"/>
              </w:pBdr>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9’</w:t>
            </w:r>
            <w:r w:rsidR="006B6141" w:rsidRPr="00900A73">
              <w:rPr>
                <w:rFonts w:ascii="Arial" w:eastAsia="Arial" w:hAnsi="Arial"/>
                <w:b/>
                <w:color w:val="000000"/>
                <w:sz w:val="20"/>
                <w:szCs w:val="20"/>
                <w:lang w:val="es-ES" w:eastAsia="es-MX"/>
              </w:rPr>
              <w:t>640,300</w:t>
            </w:r>
            <w:r w:rsidRPr="00900A73">
              <w:rPr>
                <w:rFonts w:ascii="Arial" w:eastAsia="Arial" w:hAnsi="Arial"/>
                <w:b/>
                <w:color w:val="000000"/>
                <w:sz w:val="20"/>
                <w:szCs w:val="20"/>
                <w:lang w:val="es-ES" w:eastAsia="es-MX"/>
              </w:rPr>
              <w:t>.00</w:t>
            </w:r>
          </w:p>
        </w:tc>
      </w:tr>
      <w:tr w:rsidR="002B3741" w:rsidRPr="00900A73" w14:paraId="3454DA3F" w14:textId="77777777" w:rsidTr="007D1FEF">
        <w:trPr>
          <w:trHeight w:val="20"/>
        </w:trPr>
        <w:tc>
          <w:tcPr>
            <w:tcW w:w="3731" w:type="pct"/>
          </w:tcPr>
          <w:p w14:paraId="28C800F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Fondo de Aportaciones para la Infraestructura Social Municipal</w:t>
            </w:r>
          </w:p>
        </w:tc>
        <w:tc>
          <w:tcPr>
            <w:tcW w:w="1269" w:type="pct"/>
          </w:tcPr>
          <w:p w14:paraId="1BDACF71" w14:textId="1598EE4E" w:rsidR="002B3741" w:rsidRPr="00900A73" w:rsidRDefault="002B3741" w:rsidP="00900A73">
            <w:pPr>
              <w:widowControl w:val="0"/>
              <w:pBdr>
                <w:top w:val="nil"/>
                <w:left w:val="nil"/>
                <w:bottom w:val="nil"/>
                <w:right w:val="nil"/>
                <w:between w:val="nil"/>
              </w:pBdr>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3’</w:t>
            </w:r>
            <w:r w:rsidR="006B6141" w:rsidRPr="00900A73">
              <w:rPr>
                <w:rFonts w:ascii="Arial" w:eastAsia="Arial" w:hAnsi="Arial"/>
                <w:color w:val="000000"/>
                <w:sz w:val="20"/>
                <w:szCs w:val="20"/>
                <w:lang w:val="es-ES" w:eastAsia="es-MX"/>
              </w:rPr>
              <w:t>617,205</w:t>
            </w:r>
            <w:r w:rsidRPr="00900A73">
              <w:rPr>
                <w:rFonts w:ascii="Arial" w:eastAsia="Arial" w:hAnsi="Arial"/>
                <w:color w:val="000000"/>
                <w:sz w:val="20"/>
                <w:szCs w:val="20"/>
                <w:lang w:val="es-ES" w:eastAsia="es-MX"/>
              </w:rPr>
              <w:t>.00</w:t>
            </w:r>
          </w:p>
        </w:tc>
      </w:tr>
      <w:tr w:rsidR="002B3741" w:rsidRPr="00900A73" w14:paraId="44B39C03" w14:textId="77777777" w:rsidTr="007D1FEF">
        <w:trPr>
          <w:trHeight w:val="20"/>
        </w:trPr>
        <w:tc>
          <w:tcPr>
            <w:tcW w:w="3731" w:type="pct"/>
          </w:tcPr>
          <w:p w14:paraId="36458591"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Fondo de Aportaciones para el Fortalecimiento Municipal</w:t>
            </w:r>
          </w:p>
        </w:tc>
        <w:tc>
          <w:tcPr>
            <w:tcW w:w="1269" w:type="pct"/>
          </w:tcPr>
          <w:p w14:paraId="2421EDFC" w14:textId="77F546B3" w:rsidR="002B3741" w:rsidRPr="00900A73" w:rsidRDefault="002B3741" w:rsidP="00900A73">
            <w:pPr>
              <w:widowControl w:val="0"/>
              <w:pBdr>
                <w:top w:val="nil"/>
                <w:left w:val="nil"/>
                <w:bottom w:val="nil"/>
                <w:right w:val="nil"/>
                <w:between w:val="nil"/>
              </w:pBdr>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bookmarkStart w:id="5" w:name="OLE_LINK1"/>
            <w:r w:rsidR="006B6141" w:rsidRPr="00900A73">
              <w:rPr>
                <w:rFonts w:ascii="Arial" w:eastAsia="Arial" w:hAnsi="Arial"/>
                <w:color w:val="000000"/>
                <w:sz w:val="20"/>
                <w:szCs w:val="20"/>
                <w:lang w:val="es-ES" w:eastAsia="es-MX"/>
              </w:rPr>
              <w:t>6</w:t>
            </w:r>
            <w:r w:rsidRPr="00900A73">
              <w:rPr>
                <w:rFonts w:ascii="Arial" w:eastAsia="Arial" w:hAnsi="Arial"/>
                <w:color w:val="000000"/>
                <w:sz w:val="20"/>
                <w:szCs w:val="20"/>
                <w:lang w:val="es-ES" w:eastAsia="es-MX"/>
              </w:rPr>
              <w:t>’</w:t>
            </w:r>
            <w:r w:rsidR="006B6141" w:rsidRPr="00900A73">
              <w:rPr>
                <w:rFonts w:ascii="Arial" w:eastAsia="Arial" w:hAnsi="Arial"/>
                <w:color w:val="000000"/>
                <w:sz w:val="20"/>
                <w:szCs w:val="20"/>
                <w:lang w:val="es-ES" w:eastAsia="es-MX"/>
              </w:rPr>
              <w:t>023</w:t>
            </w:r>
            <w:r w:rsidRPr="00900A73">
              <w:rPr>
                <w:rFonts w:ascii="Arial" w:eastAsia="Arial" w:hAnsi="Arial"/>
                <w:color w:val="000000"/>
                <w:sz w:val="20"/>
                <w:szCs w:val="20"/>
                <w:lang w:val="es-ES" w:eastAsia="es-MX"/>
              </w:rPr>
              <w:t>,</w:t>
            </w:r>
            <w:r w:rsidR="006B6141" w:rsidRPr="00900A73">
              <w:rPr>
                <w:rFonts w:ascii="Arial" w:eastAsia="Arial" w:hAnsi="Arial"/>
                <w:color w:val="000000"/>
                <w:sz w:val="20"/>
                <w:szCs w:val="20"/>
                <w:lang w:val="es-ES" w:eastAsia="es-MX"/>
              </w:rPr>
              <w:t>095</w:t>
            </w:r>
            <w:r w:rsidRPr="00900A73">
              <w:rPr>
                <w:rFonts w:ascii="Arial" w:eastAsia="Arial" w:hAnsi="Arial"/>
                <w:color w:val="000000"/>
                <w:sz w:val="20"/>
                <w:szCs w:val="20"/>
                <w:lang w:val="es-ES" w:eastAsia="es-MX"/>
              </w:rPr>
              <w:t>.00</w:t>
            </w:r>
            <w:bookmarkEnd w:id="5"/>
          </w:p>
        </w:tc>
      </w:tr>
    </w:tbl>
    <w:p w14:paraId="3974F329" w14:textId="77777777" w:rsidR="002B3741"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118CA930" w14:textId="77777777" w:rsidR="00ED5225" w:rsidRPr="00900A73" w:rsidRDefault="00ED5225"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9"/>
        <w:gridCol w:w="2312"/>
      </w:tblGrid>
      <w:tr w:rsidR="002B3741" w:rsidRPr="00900A73" w14:paraId="2E25E8A3" w14:textId="77777777" w:rsidTr="002B3741">
        <w:trPr>
          <w:trHeight w:val="20"/>
        </w:trPr>
        <w:tc>
          <w:tcPr>
            <w:tcW w:w="3731" w:type="pct"/>
            <w:shd w:val="clear" w:color="auto" w:fill="D9D9D9"/>
          </w:tcPr>
          <w:p w14:paraId="56A13E17"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Convenios</w:t>
            </w:r>
          </w:p>
        </w:tc>
        <w:tc>
          <w:tcPr>
            <w:tcW w:w="1269" w:type="pct"/>
            <w:shd w:val="clear" w:color="auto" w:fill="D9D9D9"/>
          </w:tcPr>
          <w:p w14:paraId="02D7DC2A" w14:textId="26721CFA" w:rsidR="002B3741" w:rsidRPr="00900A73" w:rsidRDefault="002E1A7A" w:rsidP="002076E2">
            <w:pPr>
              <w:widowControl w:val="0"/>
              <w:pBdr>
                <w:top w:val="nil"/>
                <w:left w:val="nil"/>
                <w:bottom w:val="nil"/>
                <w:right w:val="nil"/>
                <w:between w:val="nil"/>
              </w:pBdr>
              <w:spacing w:after="0" w:line="360" w:lineRule="auto"/>
              <w:jc w:val="right"/>
              <w:rPr>
                <w:rFonts w:ascii="Arial" w:eastAsia="Arial" w:hAnsi="Arial"/>
                <w:b/>
                <w:color w:val="000000"/>
                <w:sz w:val="20"/>
                <w:szCs w:val="20"/>
                <w:lang w:val="es-ES" w:eastAsia="es-MX"/>
              </w:rPr>
            </w:pPr>
            <w:r>
              <w:rPr>
                <w:rFonts w:ascii="Arial" w:eastAsia="Arial" w:hAnsi="Arial"/>
                <w:b/>
                <w:color w:val="000000"/>
                <w:sz w:val="20"/>
                <w:szCs w:val="20"/>
                <w:lang w:val="es-ES" w:eastAsia="es-MX"/>
              </w:rPr>
              <w:t xml:space="preserve"> </w:t>
            </w:r>
            <w:r w:rsidR="002B3741" w:rsidRPr="00900A73">
              <w:rPr>
                <w:rFonts w:ascii="Arial" w:eastAsia="Arial" w:hAnsi="Arial"/>
                <w:b/>
                <w:color w:val="000000"/>
                <w:sz w:val="20"/>
                <w:szCs w:val="20"/>
                <w:lang w:val="es-ES" w:eastAsia="es-MX"/>
              </w:rPr>
              <w:t>$</w:t>
            </w:r>
            <w:r>
              <w:rPr>
                <w:rFonts w:ascii="Arial" w:eastAsia="Arial" w:hAnsi="Arial"/>
                <w:b/>
                <w:color w:val="000000"/>
                <w:sz w:val="20"/>
                <w:szCs w:val="20"/>
                <w:lang w:val="es-ES" w:eastAsia="es-MX"/>
              </w:rPr>
              <w:t xml:space="preserve">  </w:t>
            </w:r>
            <w:r w:rsidR="002B3741" w:rsidRPr="00900A73">
              <w:rPr>
                <w:rFonts w:ascii="Arial" w:eastAsia="Arial" w:hAnsi="Arial"/>
                <w:b/>
                <w:color w:val="000000"/>
                <w:sz w:val="20"/>
                <w:szCs w:val="20"/>
                <w:lang w:val="es-ES" w:eastAsia="es-MX"/>
              </w:rPr>
              <w:t xml:space="preserve">        15’</w:t>
            </w:r>
            <w:r w:rsidR="006B6141" w:rsidRPr="00900A73">
              <w:rPr>
                <w:rFonts w:ascii="Arial" w:eastAsia="Arial" w:hAnsi="Arial"/>
                <w:b/>
                <w:color w:val="000000"/>
                <w:sz w:val="20"/>
                <w:szCs w:val="20"/>
                <w:lang w:val="es-ES" w:eastAsia="es-MX"/>
              </w:rPr>
              <w:t>541</w:t>
            </w:r>
            <w:r w:rsidR="002B3741" w:rsidRPr="00900A73">
              <w:rPr>
                <w:rFonts w:ascii="Arial" w:eastAsia="Arial" w:hAnsi="Arial"/>
                <w:b/>
                <w:color w:val="000000"/>
                <w:sz w:val="20"/>
                <w:szCs w:val="20"/>
                <w:lang w:val="es-ES" w:eastAsia="es-MX"/>
              </w:rPr>
              <w:t>,</w:t>
            </w:r>
            <w:r w:rsidR="006B6141" w:rsidRPr="00900A73">
              <w:rPr>
                <w:rFonts w:ascii="Arial" w:eastAsia="Arial" w:hAnsi="Arial"/>
                <w:b/>
                <w:color w:val="000000"/>
                <w:sz w:val="20"/>
                <w:szCs w:val="20"/>
                <w:lang w:val="es-ES" w:eastAsia="es-MX"/>
              </w:rPr>
              <w:t>404</w:t>
            </w:r>
            <w:r w:rsidR="002B3741" w:rsidRPr="00900A73">
              <w:rPr>
                <w:rFonts w:ascii="Arial" w:eastAsia="Arial" w:hAnsi="Arial"/>
                <w:b/>
                <w:color w:val="000000"/>
                <w:sz w:val="20"/>
                <w:szCs w:val="20"/>
                <w:lang w:val="es-ES" w:eastAsia="es-MX"/>
              </w:rPr>
              <w:t>.00</w:t>
            </w:r>
          </w:p>
        </w:tc>
      </w:tr>
      <w:tr w:rsidR="002B3741" w:rsidRPr="00900A73" w14:paraId="4C5B63E4" w14:textId="77777777" w:rsidTr="002B3741">
        <w:trPr>
          <w:trHeight w:val="20"/>
        </w:trPr>
        <w:tc>
          <w:tcPr>
            <w:tcW w:w="3731" w:type="pct"/>
          </w:tcPr>
          <w:p w14:paraId="7F5A8397"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Con la Federación o el Estado: Hábitat, Tu Casa, Rescate de Espacios Públicos</w:t>
            </w:r>
          </w:p>
        </w:tc>
        <w:tc>
          <w:tcPr>
            <w:tcW w:w="1269" w:type="pct"/>
            <w:vAlign w:val="center"/>
          </w:tcPr>
          <w:p w14:paraId="4E77288C" w14:textId="44F77272" w:rsidR="002B3741" w:rsidRPr="00900A73" w:rsidRDefault="002B3741" w:rsidP="002076E2">
            <w:pPr>
              <w:widowControl w:val="0"/>
              <w:pBdr>
                <w:top w:val="nil"/>
                <w:left w:val="nil"/>
                <w:bottom w:val="nil"/>
                <w:right w:val="nil"/>
                <w:between w:val="nil"/>
              </w:pBdr>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    </w:t>
            </w:r>
            <w:r w:rsidR="0004384E">
              <w:rPr>
                <w:rFonts w:ascii="Arial" w:eastAsia="Arial" w:hAnsi="Arial"/>
                <w:color w:val="000000"/>
                <w:sz w:val="20"/>
                <w:szCs w:val="20"/>
                <w:lang w:val="es-ES" w:eastAsia="es-MX"/>
              </w:rPr>
              <w:t xml:space="preserve">     </w:t>
            </w:r>
            <w:r w:rsidRPr="00900A73">
              <w:rPr>
                <w:rFonts w:ascii="Arial" w:eastAsia="Arial" w:hAnsi="Arial"/>
                <w:color w:val="000000"/>
                <w:sz w:val="20"/>
                <w:szCs w:val="20"/>
                <w:lang w:val="es-ES" w:eastAsia="es-MX"/>
              </w:rPr>
              <w:t xml:space="preserve"> 15’</w:t>
            </w:r>
            <w:r w:rsidR="006B6141" w:rsidRPr="00900A73">
              <w:rPr>
                <w:rFonts w:ascii="Arial" w:eastAsia="Arial" w:hAnsi="Arial"/>
                <w:color w:val="000000"/>
                <w:sz w:val="20"/>
                <w:szCs w:val="20"/>
                <w:lang w:val="es-ES" w:eastAsia="es-MX"/>
              </w:rPr>
              <w:t>541</w:t>
            </w:r>
            <w:r w:rsidRPr="00900A73">
              <w:rPr>
                <w:rFonts w:ascii="Arial" w:eastAsia="Arial" w:hAnsi="Arial"/>
                <w:color w:val="000000"/>
                <w:sz w:val="20"/>
                <w:szCs w:val="20"/>
                <w:lang w:val="es-ES" w:eastAsia="es-MX"/>
              </w:rPr>
              <w:t>,</w:t>
            </w:r>
            <w:r w:rsidR="006B6141" w:rsidRPr="00900A73">
              <w:rPr>
                <w:rFonts w:ascii="Arial" w:eastAsia="Arial" w:hAnsi="Arial"/>
                <w:color w:val="000000"/>
                <w:sz w:val="20"/>
                <w:szCs w:val="20"/>
                <w:lang w:val="es-ES" w:eastAsia="es-MX"/>
              </w:rPr>
              <w:t>404</w:t>
            </w:r>
            <w:r w:rsidRPr="00900A73">
              <w:rPr>
                <w:rFonts w:ascii="Arial" w:eastAsia="Arial" w:hAnsi="Arial"/>
                <w:color w:val="000000"/>
                <w:sz w:val="20"/>
                <w:szCs w:val="20"/>
                <w:lang w:val="es-ES" w:eastAsia="es-MX"/>
              </w:rPr>
              <w:t>.00</w:t>
            </w:r>
          </w:p>
        </w:tc>
      </w:tr>
    </w:tbl>
    <w:p w14:paraId="69140448"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5000" w:type="pct"/>
        <w:tblCellMar>
          <w:left w:w="72" w:type="dxa"/>
          <w:right w:w="72" w:type="dxa"/>
        </w:tblCellMar>
        <w:tblLook w:val="0000" w:firstRow="0" w:lastRow="0" w:firstColumn="0" w:lastColumn="0" w:noHBand="0" w:noVBand="0"/>
      </w:tblPr>
      <w:tblGrid>
        <w:gridCol w:w="6796"/>
        <w:gridCol w:w="2309"/>
      </w:tblGrid>
      <w:tr w:rsidR="002B3741" w:rsidRPr="00900A73" w14:paraId="6D67C541" w14:textId="77777777" w:rsidTr="002E1A7A">
        <w:tc>
          <w:tcPr>
            <w:tcW w:w="3732" w:type="pct"/>
            <w:tcBorders>
              <w:top w:val="single" w:sz="6" w:space="0" w:color="auto"/>
              <w:left w:val="single" w:sz="6" w:space="0" w:color="auto"/>
              <w:bottom w:val="single" w:sz="6" w:space="0" w:color="auto"/>
              <w:right w:val="single" w:sz="6" w:space="0" w:color="auto"/>
            </w:tcBorders>
            <w:shd w:val="clear" w:color="auto" w:fill="D9D9D9"/>
          </w:tcPr>
          <w:p w14:paraId="3FF531EC" w14:textId="77777777" w:rsidR="002B3741" w:rsidRPr="00900A73" w:rsidRDefault="002B3741" w:rsidP="00900A73">
            <w:pPr>
              <w:spacing w:after="0" w:line="360" w:lineRule="auto"/>
              <w:jc w:val="both"/>
              <w:rPr>
                <w:rFonts w:ascii="Arial" w:eastAsia="Times New Roman" w:hAnsi="Arial"/>
                <w:b/>
                <w:sz w:val="20"/>
                <w:szCs w:val="20"/>
                <w:lang w:val="es-ES" w:eastAsia="es-ES"/>
              </w:rPr>
            </w:pPr>
            <w:r w:rsidRPr="00900A73">
              <w:rPr>
                <w:rFonts w:ascii="Arial" w:eastAsia="Times New Roman" w:hAnsi="Arial"/>
                <w:b/>
                <w:sz w:val="20"/>
                <w:szCs w:val="20"/>
                <w:lang w:val="es-ES" w:eastAsia="es-ES"/>
              </w:rPr>
              <w:t>Incentivos Derivados de la Colaboración Fiscal</w:t>
            </w:r>
          </w:p>
        </w:tc>
        <w:tc>
          <w:tcPr>
            <w:tcW w:w="1268" w:type="pct"/>
            <w:tcBorders>
              <w:top w:val="single" w:sz="6" w:space="0" w:color="auto"/>
              <w:left w:val="single" w:sz="6" w:space="0" w:color="auto"/>
              <w:bottom w:val="single" w:sz="6" w:space="0" w:color="auto"/>
              <w:right w:val="single" w:sz="6" w:space="0" w:color="auto"/>
            </w:tcBorders>
            <w:shd w:val="clear" w:color="auto" w:fill="D9D9D9"/>
          </w:tcPr>
          <w:p w14:paraId="3C88F690" w14:textId="77777777" w:rsidR="002B3741" w:rsidRPr="00900A73" w:rsidRDefault="002B3741" w:rsidP="00900A73">
            <w:pPr>
              <w:spacing w:after="0" w:line="360" w:lineRule="auto"/>
              <w:jc w:val="both"/>
              <w:rPr>
                <w:rFonts w:ascii="Arial" w:eastAsia="Times New Roman" w:hAnsi="Arial"/>
                <w:b/>
                <w:sz w:val="20"/>
                <w:szCs w:val="20"/>
                <w:lang w:val="es-ES" w:eastAsia="es-ES"/>
              </w:rPr>
            </w:pPr>
          </w:p>
        </w:tc>
      </w:tr>
      <w:tr w:rsidR="002B3741" w:rsidRPr="00900A73" w14:paraId="79709D72" w14:textId="77777777" w:rsidTr="002E1A7A">
        <w:tc>
          <w:tcPr>
            <w:tcW w:w="3732" w:type="pct"/>
            <w:tcBorders>
              <w:top w:val="single" w:sz="6" w:space="0" w:color="auto"/>
              <w:left w:val="single" w:sz="6" w:space="0" w:color="auto"/>
              <w:bottom w:val="single" w:sz="6" w:space="0" w:color="auto"/>
              <w:right w:val="single" w:sz="6" w:space="0" w:color="auto"/>
            </w:tcBorders>
          </w:tcPr>
          <w:p w14:paraId="410751BD" w14:textId="77777777" w:rsidR="002B3741" w:rsidRPr="00900A73" w:rsidRDefault="002B3741" w:rsidP="00900A73">
            <w:pPr>
              <w:spacing w:after="0" w:line="360" w:lineRule="auto"/>
              <w:jc w:val="both"/>
              <w:rPr>
                <w:rFonts w:ascii="Arial" w:eastAsia="Times New Roman" w:hAnsi="Arial"/>
                <w:sz w:val="20"/>
                <w:szCs w:val="20"/>
                <w:lang w:val="es-ES" w:eastAsia="es-ES"/>
              </w:rPr>
            </w:pPr>
            <w:r w:rsidRPr="00900A73">
              <w:rPr>
                <w:rFonts w:ascii="Arial" w:eastAsia="Times New Roman" w:hAnsi="Arial"/>
                <w:sz w:val="20"/>
                <w:szCs w:val="20"/>
                <w:lang w:val="es-ES" w:eastAsia="es-ES"/>
              </w:rPr>
              <w:t>&gt; Incentivos Derivados de la Colaboración Fiscal</w:t>
            </w:r>
          </w:p>
        </w:tc>
        <w:tc>
          <w:tcPr>
            <w:tcW w:w="1268" w:type="pct"/>
            <w:tcBorders>
              <w:top w:val="single" w:sz="6" w:space="0" w:color="auto"/>
              <w:left w:val="single" w:sz="6" w:space="0" w:color="auto"/>
              <w:bottom w:val="single" w:sz="6" w:space="0" w:color="auto"/>
              <w:right w:val="single" w:sz="6" w:space="0" w:color="auto"/>
            </w:tcBorders>
          </w:tcPr>
          <w:p w14:paraId="50D794B4" w14:textId="77777777" w:rsidR="002B3741" w:rsidRPr="00900A73" w:rsidRDefault="002B3741" w:rsidP="0004384E">
            <w:pPr>
              <w:spacing w:after="0" w:line="360" w:lineRule="auto"/>
              <w:jc w:val="right"/>
              <w:rPr>
                <w:rFonts w:ascii="Arial" w:eastAsia="Times New Roman" w:hAnsi="Arial"/>
                <w:sz w:val="20"/>
                <w:szCs w:val="20"/>
                <w:lang w:val="es-ES" w:eastAsia="es-ES"/>
              </w:rPr>
            </w:pPr>
            <w:r w:rsidRPr="00900A73">
              <w:rPr>
                <w:rFonts w:ascii="Arial" w:eastAsia="Times New Roman" w:hAnsi="Arial"/>
                <w:sz w:val="20"/>
                <w:szCs w:val="20"/>
                <w:lang w:val="es-ES" w:eastAsia="es-ES"/>
              </w:rPr>
              <w:t>$</w:t>
            </w:r>
            <w:r w:rsidRPr="00900A73">
              <w:rPr>
                <w:rFonts w:ascii="Arial" w:eastAsia="Times New Roman" w:hAnsi="Arial"/>
                <w:sz w:val="20"/>
                <w:szCs w:val="20"/>
                <w:lang w:val="es-ES" w:eastAsia="es-ES"/>
              </w:rPr>
              <w:tab/>
              <w:t xml:space="preserve">             0.00</w:t>
            </w:r>
          </w:p>
        </w:tc>
      </w:tr>
    </w:tbl>
    <w:p w14:paraId="7055195E" w14:textId="77777777" w:rsidR="002B3741" w:rsidRPr="00900A73" w:rsidRDefault="002B3741" w:rsidP="00900A73">
      <w:pPr>
        <w:widowControl w:val="0"/>
        <w:spacing w:after="0" w:line="360" w:lineRule="auto"/>
        <w:rPr>
          <w:rFonts w:ascii="Arial" w:eastAsia="Arial" w:hAnsi="Arial"/>
          <w:sz w:val="20"/>
          <w:szCs w:val="20"/>
          <w:lang w:val="es-ES" w:eastAsia="es-MX"/>
        </w:rPr>
      </w:pPr>
    </w:p>
    <w:tbl>
      <w:tblPr>
        <w:tblW w:w="5000" w:type="pct"/>
        <w:tblCellMar>
          <w:left w:w="72" w:type="dxa"/>
          <w:right w:w="72" w:type="dxa"/>
        </w:tblCellMar>
        <w:tblLook w:val="0000" w:firstRow="0" w:lastRow="0" w:firstColumn="0" w:lastColumn="0" w:noHBand="0" w:noVBand="0"/>
      </w:tblPr>
      <w:tblGrid>
        <w:gridCol w:w="6796"/>
        <w:gridCol w:w="2309"/>
      </w:tblGrid>
      <w:tr w:rsidR="002B3741" w:rsidRPr="00900A73" w14:paraId="3367A041" w14:textId="77777777" w:rsidTr="002E1A7A">
        <w:tc>
          <w:tcPr>
            <w:tcW w:w="3732" w:type="pct"/>
            <w:tcBorders>
              <w:top w:val="single" w:sz="6" w:space="0" w:color="auto"/>
              <w:left w:val="single" w:sz="6" w:space="0" w:color="auto"/>
              <w:bottom w:val="single" w:sz="6" w:space="0" w:color="auto"/>
              <w:right w:val="single" w:sz="6" w:space="0" w:color="auto"/>
            </w:tcBorders>
            <w:shd w:val="clear" w:color="auto" w:fill="D9D9D9"/>
          </w:tcPr>
          <w:p w14:paraId="0BBB2E34" w14:textId="77777777" w:rsidR="002B3741" w:rsidRPr="00900A73" w:rsidRDefault="002B3741" w:rsidP="00900A73">
            <w:pPr>
              <w:spacing w:after="0" w:line="360" w:lineRule="auto"/>
              <w:jc w:val="both"/>
              <w:rPr>
                <w:rFonts w:ascii="Arial" w:eastAsia="Times New Roman" w:hAnsi="Arial"/>
                <w:b/>
                <w:sz w:val="20"/>
                <w:szCs w:val="20"/>
                <w:lang w:val="es-ES" w:eastAsia="es-ES"/>
              </w:rPr>
            </w:pPr>
            <w:r w:rsidRPr="00900A73">
              <w:rPr>
                <w:rFonts w:ascii="Arial" w:eastAsia="Times New Roman" w:hAnsi="Arial"/>
                <w:b/>
                <w:sz w:val="20"/>
                <w:szCs w:val="20"/>
                <w:lang w:val="es-ES" w:eastAsia="es-ES"/>
              </w:rPr>
              <w:t>Fondos Distintos de Aportaciones</w:t>
            </w:r>
          </w:p>
        </w:tc>
        <w:tc>
          <w:tcPr>
            <w:tcW w:w="1268" w:type="pct"/>
            <w:tcBorders>
              <w:top w:val="single" w:sz="6" w:space="0" w:color="auto"/>
              <w:left w:val="single" w:sz="6" w:space="0" w:color="auto"/>
              <w:bottom w:val="single" w:sz="6" w:space="0" w:color="auto"/>
              <w:right w:val="single" w:sz="6" w:space="0" w:color="auto"/>
            </w:tcBorders>
            <w:shd w:val="clear" w:color="auto" w:fill="D9D9D9"/>
          </w:tcPr>
          <w:p w14:paraId="26E82888" w14:textId="77777777" w:rsidR="002B3741" w:rsidRPr="00900A73" w:rsidRDefault="002B3741" w:rsidP="00900A73">
            <w:pPr>
              <w:spacing w:after="0" w:line="360" w:lineRule="auto"/>
              <w:jc w:val="both"/>
              <w:rPr>
                <w:rFonts w:ascii="Arial" w:eastAsia="Times New Roman" w:hAnsi="Arial"/>
                <w:b/>
                <w:sz w:val="20"/>
                <w:szCs w:val="20"/>
                <w:lang w:val="es-ES" w:eastAsia="es-ES"/>
              </w:rPr>
            </w:pPr>
          </w:p>
        </w:tc>
      </w:tr>
      <w:tr w:rsidR="002B3741" w:rsidRPr="00900A73" w14:paraId="4473F524" w14:textId="77777777" w:rsidTr="002E1A7A">
        <w:tc>
          <w:tcPr>
            <w:tcW w:w="3732" w:type="pct"/>
            <w:tcBorders>
              <w:top w:val="single" w:sz="6" w:space="0" w:color="auto"/>
              <w:left w:val="single" w:sz="6" w:space="0" w:color="auto"/>
              <w:bottom w:val="single" w:sz="6" w:space="0" w:color="auto"/>
              <w:right w:val="single" w:sz="6" w:space="0" w:color="auto"/>
            </w:tcBorders>
          </w:tcPr>
          <w:p w14:paraId="297BB5F5" w14:textId="77777777" w:rsidR="002B3741" w:rsidRPr="00900A73" w:rsidRDefault="002B3741" w:rsidP="00900A73">
            <w:pPr>
              <w:spacing w:after="0" w:line="360" w:lineRule="auto"/>
              <w:jc w:val="both"/>
              <w:rPr>
                <w:rFonts w:ascii="Arial" w:eastAsia="Times New Roman" w:hAnsi="Arial"/>
                <w:sz w:val="20"/>
                <w:szCs w:val="20"/>
                <w:lang w:val="es-ES" w:eastAsia="es-ES"/>
              </w:rPr>
            </w:pPr>
            <w:r w:rsidRPr="00900A73">
              <w:rPr>
                <w:rFonts w:ascii="Arial" w:eastAsia="Times New Roman" w:hAnsi="Arial"/>
                <w:sz w:val="20"/>
                <w:szCs w:val="20"/>
                <w:lang w:val="es-ES" w:eastAsia="es-ES"/>
              </w:rPr>
              <w:t>&gt; Fondos Distintos de Aportaciones</w:t>
            </w:r>
          </w:p>
        </w:tc>
        <w:tc>
          <w:tcPr>
            <w:tcW w:w="1268" w:type="pct"/>
            <w:tcBorders>
              <w:top w:val="single" w:sz="6" w:space="0" w:color="auto"/>
              <w:left w:val="single" w:sz="6" w:space="0" w:color="auto"/>
              <w:bottom w:val="single" w:sz="6" w:space="0" w:color="auto"/>
              <w:right w:val="single" w:sz="6" w:space="0" w:color="auto"/>
            </w:tcBorders>
          </w:tcPr>
          <w:p w14:paraId="0A003167" w14:textId="77777777" w:rsidR="002B3741" w:rsidRPr="00900A73" w:rsidRDefault="002B3741" w:rsidP="0004384E">
            <w:pPr>
              <w:spacing w:after="0" w:line="360" w:lineRule="auto"/>
              <w:jc w:val="right"/>
              <w:rPr>
                <w:rFonts w:ascii="Arial" w:eastAsia="Times New Roman" w:hAnsi="Arial"/>
                <w:sz w:val="20"/>
                <w:szCs w:val="20"/>
                <w:lang w:val="es-ES" w:eastAsia="es-ES"/>
              </w:rPr>
            </w:pPr>
            <w:r w:rsidRPr="00900A73">
              <w:rPr>
                <w:rFonts w:ascii="Arial" w:eastAsia="Times New Roman" w:hAnsi="Arial"/>
                <w:sz w:val="20"/>
                <w:szCs w:val="20"/>
                <w:lang w:val="es-ES" w:eastAsia="es-ES"/>
              </w:rPr>
              <w:t>$</w:t>
            </w:r>
            <w:r w:rsidRPr="00900A73">
              <w:rPr>
                <w:rFonts w:ascii="Arial" w:eastAsia="Times New Roman" w:hAnsi="Arial"/>
                <w:sz w:val="20"/>
                <w:szCs w:val="20"/>
                <w:lang w:val="es-ES" w:eastAsia="es-ES"/>
              </w:rPr>
              <w:tab/>
              <w:t xml:space="preserve">             0.00</w:t>
            </w:r>
          </w:p>
        </w:tc>
      </w:tr>
    </w:tbl>
    <w:p w14:paraId="2F902CD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913ED0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12.- </w:t>
      </w:r>
      <w:r w:rsidRPr="00900A73">
        <w:rPr>
          <w:rFonts w:ascii="Arial" w:eastAsia="Arial" w:hAnsi="Arial"/>
          <w:color w:val="000000"/>
          <w:sz w:val="20"/>
          <w:szCs w:val="20"/>
          <w:lang w:val="es-ES" w:eastAsia="es-MX"/>
        </w:rPr>
        <w:t>Los ingresos por Transferencias, Asignaciones, Subsidios y Subvenciones, y Pensiones y Jubilaciones que percibirá la Hacienda Pública Municipal se integrarán por los siguientes conceptos:</w:t>
      </w:r>
    </w:p>
    <w:p w14:paraId="1C78C145"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37"/>
        <w:gridCol w:w="2274"/>
      </w:tblGrid>
      <w:tr w:rsidR="002B3741" w:rsidRPr="00900A73" w14:paraId="53B5106C" w14:textId="77777777" w:rsidTr="00FA3722">
        <w:trPr>
          <w:trHeight w:val="20"/>
        </w:trPr>
        <w:tc>
          <w:tcPr>
            <w:tcW w:w="3752" w:type="pct"/>
            <w:shd w:val="clear" w:color="auto" w:fill="D9D9D9"/>
          </w:tcPr>
          <w:p w14:paraId="5F9B2F7C"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lastRenderedPageBreak/>
              <w:t>Transferencias, Asignaciones, Subsidios y Subvenciones, y Pensiones y Jubilaciones</w:t>
            </w:r>
          </w:p>
        </w:tc>
        <w:tc>
          <w:tcPr>
            <w:tcW w:w="1248" w:type="pct"/>
            <w:shd w:val="clear" w:color="auto" w:fill="D9D9D9"/>
          </w:tcPr>
          <w:p w14:paraId="5F798375" w14:textId="77777777" w:rsidR="002B3741" w:rsidRPr="00900A73" w:rsidRDefault="002B3741" w:rsidP="0004384E">
            <w:pPr>
              <w:widowControl w:val="0"/>
              <w:pBdr>
                <w:top w:val="nil"/>
                <w:left w:val="nil"/>
                <w:bottom w:val="nil"/>
                <w:right w:val="nil"/>
                <w:between w:val="nil"/>
              </w:pBdr>
              <w:tabs>
                <w:tab w:val="left" w:pos="1056"/>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r w:rsidR="002B3741" w:rsidRPr="00900A73" w14:paraId="76DB58C5" w14:textId="77777777" w:rsidTr="00FA3722">
        <w:trPr>
          <w:trHeight w:val="20"/>
        </w:trPr>
        <w:tc>
          <w:tcPr>
            <w:tcW w:w="3752" w:type="pct"/>
          </w:tcPr>
          <w:p w14:paraId="6443CEC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xml:space="preserve">Transferencias y Asignaciones </w:t>
            </w:r>
          </w:p>
        </w:tc>
        <w:tc>
          <w:tcPr>
            <w:tcW w:w="1248" w:type="pct"/>
          </w:tcPr>
          <w:p w14:paraId="1861B14B" w14:textId="77777777" w:rsidR="002B3741" w:rsidRPr="00900A73" w:rsidRDefault="002B3741" w:rsidP="0004384E">
            <w:pPr>
              <w:widowControl w:val="0"/>
              <w:pBdr>
                <w:top w:val="nil"/>
                <w:left w:val="nil"/>
                <w:bottom w:val="nil"/>
                <w:right w:val="nil"/>
                <w:between w:val="nil"/>
              </w:pBdr>
              <w:tabs>
                <w:tab w:val="left" w:pos="105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r w:rsidR="002B3741" w:rsidRPr="00900A73" w14:paraId="22C8F149" w14:textId="77777777" w:rsidTr="00FA3722">
        <w:trPr>
          <w:trHeight w:val="20"/>
        </w:trPr>
        <w:tc>
          <w:tcPr>
            <w:tcW w:w="3752" w:type="pct"/>
          </w:tcPr>
          <w:p w14:paraId="57E96531" w14:textId="77777777" w:rsidR="002B3741" w:rsidRPr="00900A73" w:rsidRDefault="002B3741" w:rsidP="00900A73">
            <w:pPr>
              <w:widowControl w:val="0"/>
              <w:pBdr>
                <w:top w:val="nil"/>
                <w:left w:val="nil"/>
                <w:bottom w:val="nil"/>
                <w:right w:val="nil"/>
                <w:between w:val="nil"/>
              </w:pBdr>
              <w:tabs>
                <w:tab w:val="left" w:pos="1296"/>
                <w:tab w:val="left" w:pos="1946"/>
                <w:tab w:val="left" w:pos="3131"/>
                <w:tab w:val="left" w:pos="3761"/>
                <w:tab w:val="left" w:pos="5068"/>
                <w:tab w:val="left" w:pos="6197"/>
              </w:tabs>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&gt; Las recibidas por conceptos diversos a participaciones, aportaciones o aprovechamientos</w:t>
            </w:r>
          </w:p>
        </w:tc>
        <w:tc>
          <w:tcPr>
            <w:tcW w:w="1248" w:type="pct"/>
          </w:tcPr>
          <w:p w14:paraId="2FDBEABC" w14:textId="77777777" w:rsidR="002B3741" w:rsidRPr="00900A73" w:rsidRDefault="002B3741" w:rsidP="0004384E">
            <w:pPr>
              <w:widowControl w:val="0"/>
              <w:pBdr>
                <w:top w:val="nil"/>
                <w:left w:val="nil"/>
                <w:bottom w:val="nil"/>
                <w:right w:val="nil"/>
                <w:between w:val="nil"/>
              </w:pBdr>
              <w:tabs>
                <w:tab w:val="left" w:pos="1055"/>
              </w:tabs>
              <w:spacing w:after="0" w:line="360" w:lineRule="auto"/>
              <w:jc w:val="right"/>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w:t>
            </w:r>
            <w:r w:rsidRPr="00900A73">
              <w:rPr>
                <w:rFonts w:ascii="Arial" w:eastAsia="Arial" w:hAnsi="Arial"/>
                <w:color w:val="000000"/>
                <w:sz w:val="20"/>
                <w:szCs w:val="20"/>
                <w:lang w:val="es-ES" w:eastAsia="es-MX"/>
              </w:rPr>
              <w:tab/>
              <w:t xml:space="preserve">       0.00</w:t>
            </w:r>
          </w:p>
        </w:tc>
      </w:tr>
      <w:tr w:rsidR="002B3741" w:rsidRPr="00900A73" w14:paraId="7D632E70" w14:textId="77777777" w:rsidTr="00FA3722">
        <w:trPr>
          <w:trHeight w:val="20"/>
        </w:trPr>
        <w:tc>
          <w:tcPr>
            <w:tcW w:w="3752" w:type="pct"/>
          </w:tcPr>
          <w:p w14:paraId="11DD3FD6"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Subsidios y Subvenciones</w:t>
            </w:r>
          </w:p>
        </w:tc>
        <w:tc>
          <w:tcPr>
            <w:tcW w:w="1248" w:type="pct"/>
          </w:tcPr>
          <w:p w14:paraId="6FE69EB3" w14:textId="77777777" w:rsidR="002B3741" w:rsidRPr="00900A73" w:rsidRDefault="002B3741" w:rsidP="0004384E">
            <w:pPr>
              <w:widowControl w:val="0"/>
              <w:pBdr>
                <w:top w:val="nil"/>
                <w:left w:val="nil"/>
                <w:bottom w:val="nil"/>
                <w:right w:val="nil"/>
                <w:between w:val="nil"/>
              </w:pBdr>
              <w:tabs>
                <w:tab w:val="left" w:pos="1058"/>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Pr="00900A73">
              <w:rPr>
                <w:rFonts w:ascii="Arial" w:eastAsia="Arial" w:hAnsi="Arial"/>
                <w:b/>
                <w:color w:val="000000"/>
                <w:sz w:val="20"/>
                <w:szCs w:val="20"/>
                <w:lang w:val="es-ES" w:eastAsia="es-MX"/>
              </w:rPr>
              <w:tab/>
              <w:t xml:space="preserve">       0.00</w:t>
            </w:r>
          </w:p>
        </w:tc>
      </w:tr>
    </w:tbl>
    <w:p w14:paraId="60F970CD" w14:textId="77777777" w:rsidR="002B3741" w:rsidRPr="00900A73" w:rsidRDefault="002B3741" w:rsidP="00900A73">
      <w:pPr>
        <w:widowControl w:val="0"/>
        <w:spacing w:after="0" w:line="360" w:lineRule="auto"/>
        <w:rPr>
          <w:rFonts w:ascii="Arial" w:eastAsia="Arial" w:hAnsi="Arial"/>
          <w:sz w:val="20"/>
          <w:szCs w:val="20"/>
          <w:lang w:val="es-ES" w:eastAsia="es-MX"/>
        </w:rPr>
      </w:pPr>
    </w:p>
    <w:p w14:paraId="5C695AE3"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13.- </w:t>
      </w:r>
      <w:r w:rsidRPr="00900A73">
        <w:rPr>
          <w:rFonts w:ascii="Arial" w:eastAsia="Arial" w:hAnsi="Arial"/>
          <w:color w:val="000000"/>
          <w:sz w:val="20"/>
          <w:szCs w:val="20"/>
          <w:lang w:val="es-ES" w:eastAsia="es-MX"/>
        </w:rPr>
        <w:t>Los ingresos por Ingresos Derivados de Financiamientos que percibirá la Hacienda Pública Municipal se integrarán por los siguientes conceptos:</w:t>
      </w:r>
    </w:p>
    <w:p w14:paraId="50D09E51" w14:textId="77777777" w:rsidR="002B3741" w:rsidRPr="00900A73" w:rsidRDefault="002B3741" w:rsidP="00900A73">
      <w:pPr>
        <w:widowControl w:val="0"/>
        <w:spacing w:after="0" w:line="360" w:lineRule="auto"/>
        <w:rPr>
          <w:rFonts w:ascii="Arial" w:eastAsia="Arial" w:hAnsi="Arial"/>
          <w:sz w:val="20"/>
          <w:szCs w:val="20"/>
          <w:lang w:val="es-ES"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42"/>
        <w:gridCol w:w="2269"/>
      </w:tblGrid>
      <w:tr w:rsidR="002B3741" w:rsidRPr="00900A73" w14:paraId="5C05930A" w14:textId="77777777" w:rsidTr="00FA3722">
        <w:tc>
          <w:tcPr>
            <w:tcW w:w="3755" w:type="pct"/>
            <w:shd w:val="clear" w:color="auto" w:fill="D9D9D9"/>
          </w:tcPr>
          <w:p w14:paraId="6E5659D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Ingresos Derivados de Financiamientos</w:t>
            </w:r>
          </w:p>
        </w:tc>
        <w:tc>
          <w:tcPr>
            <w:tcW w:w="1245" w:type="pct"/>
            <w:shd w:val="clear" w:color="auto" w:fill="D9D9D9"/>
          </w:tcPr>
          <w:p w14:paraId="01C0C9AD" w14:textId="77777777" w:rsidR="002B3741" w:rsidRPr="00900A73" w:rsidRDefault="002B3741" w:rsidP="0004384E">
            <w:pPr>
              <w:widowControl w:val="0"/>
              <w:pBdr>
                <w:top w:val="nil"/>
                <w:left w:val="nil"/>
                <w:bottom w:val="nil"/>
                <w:right w:val="nil"/>
                <w:between w:val="nil"/>
              </w:pBdr>
              <w:tabs>
                <w:tab w:val="left" w:pos="1055"/>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r w:rsidR="002B3741" w:rsidRPr="00900A73" w14:paraId="1191550C" w14:textId="77777777" w:rsidTr="00FA3722">
        <w:tc>
          <w:tcPr>
            <w:tcW w:w="3755" w:type="pct"/>
          </w:tcPr>
          <w:p w14:paraId="5CE6D261" w14:textId="77777777" w:rsidR="002B3741" w:rsidRPr="00900A73" w:rsidRDefault="002B3741" w:rsidP="00900A73">
            <w:pPr>
              <w:widowControl w:val="0"/>
              <w:pBdr>
                <w:top w:val="nil"/>
                <w:left w:val="nil"/>
                <w:bottom w:val="nil"/>
                <w:right w:val="nil"/>
                <w:between w:val="nil"/>
              </w:pBdr>
              <w:spacing w:after="0" w:line="360" w:lineRule="auto"/>
              <w:contextualSpacing/>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Endeudamiento Interno</w:t>
            </w:r>
          </w:p>
        </w:tc>
        <w:tc>
          <w:tcPr>
            <w:tcW w:w="1245" w:type="pct"/>
          </w:tcPr>
          <w:p w14:paraId="1E21CBBA" w14:textId="77777777" w:rsidR="002B3741" w:rsidRPr="00900A73" w:rsidRDefault="002B3741" w:rsidP="0004384E">
            <w:pPr>
              <w:widowControl w:val="0"/>
              <w:pBdr>
                <w:top w:val="nil"/>
                <w:left w:val="nil"/>
                <w:bottom w:val="nil"/>
                <w:right w:val="nil"/>
                <w:between w:val="nil"/>
              </w:pBdr>
              <w:tabs>
                <w:tab w:val="left" w:pos="1057"/>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r w:rsidR="002B3741" w:rsidRPr="00900A73" w14:paraId="69EDBDF1" w14:textId="77777777" w:rsidTr="00FA3722">
        <w:tc>
          <w:tcPr>
            <w:tcW w:w="3755" w:type="pct"/>
          </w:tcPr>
          <w:p w14:paraId="0F7862DD" w14:textId="77777777" w:rsidR="002B3741" w:rsidRPr="00900A73" w:rsidRDefault="002B3741" w:rsidP="00900A73">
            <w:pPr>
              <w:widowControl w:val="0"/>
              <w:pBdr>
                <w:top w:val="nil"/>
                <w:left w:val="nil"/>
                <w:bottom w:val="nil"/>
                <w:right w:val="nil"/>
                <w:between w:val="nil"/>
              </w:pBdr>
              <w:spacing w:after="0" w:line="360" w:lineRule="auto"/>
              <w:contextualSpacing/>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Endeudamiento Externo</w:t>
            </w:r>
          </w:p>
        </w:tc>
        <w:tc>
          <w:tcPr>
            <w:tcW w:w="1245" w:type="pct"/>
          </w:tcPr>
          <w:p w14:paraId="18755FED" w14:textId="77777777" w:rsidR="002B3741" w:rsidRPr="00900A73" w:rsidRDefault="002B3741" w:rsidP="0004384E">
            <w:pPr>
              <w:widowControl w:val="0"/>
              <w:pBdr>
                <w:top w:val="nil"/>
                <w:left w:val="nil"/>
                <w:bottom w:val="nil"/>
                <w:right w:val="nil"/>
                <w:between w:val="nil"/>
              </w:pBdr>
              <w:tabs>
                <w:tab w:val="left" w:pos="1056"/>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r w:rsidR="002B3741" w:rsidRPr="00900A73" w14:paraId="6127D198" w14:textId="77777777" w:rsidTr="00FA3722">
        <w:tc>
          <w:tcPr>
            <w:tcW w:w="3755" w:type="pct"/>
          </w:tcPr>
          <w:p w14:paraId="609CC541" w14:textId="77777777" w:rsidR="002B3741" w:rsidRPr="00900A73" w:rsidRDefault="002B3741" w:rsidP="00900A73">
            <w:pPr>
              <w:widowControl w:val="0"/>
              <w:pBdr>
                <w:top w:val="nil"/>
                <w:left w:val="nil"/>
                <w:bottom w:val="nil"/>
                <w:right w:val="nil"/>
                <w:between w:val="nil"/>
              </w:pBdr>
              <w:spacing w:after="0" w:line="360" w:lineRule="auto"/>
              <w:contextualSpacing/>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Financiamiento Interno</w:t>
            </w:r>
          </w:p>
        </w:tc>
        <w:tc>
          <w:tcPr>
            <w:tcW w:w="1245" w:type="pct"/>
          </w:tcPr>
          <w:p w14:paraId="79482E5E" w14:textId="77777777" w:rsidR="002B3741" w:rsidRPr="00900A73" w:rsidRDefault="002B3741" w:rsidP="0004384E">
            <w:pPr>
              <w:widowControl w:val="0"/>
              <w:pBdr>
                <w:top w:val="nil"/>
                <w:left w:val="nil"/>
                <w:bottom w:val="nil"/>
                <w:right w:val="nil"/>
                <w:between w:val="nil"/>
              </w:pBdr>
              <w:tabs>
                <w:tab w:val="left" w:pos="1057"/>
              </w:tabs>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                     0.00</w:t>
            </w:r>
          </w:p>
        </w:tc>
      </w:tr>
    </w:tbl>
    <w:p w14:paraId="3C35D08E" w14:textId="77777777" w:rsidR="00866779" w:rsidRPr="00900A73" w:rsidRDefault="00866779" w:rsidP="00900A73">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2"/>
        <w:gridCol w:w="2269"/>
      </w:tblGrid>
      <w:tr w:rsidR="002B3741" w:rsidRPr="00900A73" w14:paraId="5193EAD4" w14:textId="77777777" w:rsidTr="00FA3722">
        <w:trPr>
          <w:trHeight w:val="20"/>
        </w:trPr>
        <w:tc>
          <w:tcPr>
            <w:tcW w:w="3755" w:type="pct"/>
          </w:tcPr>
          <w:p w14:paraId="605C45C1" w14:textId="1DEDB3CA"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EL TOTAL DE INGRESO QUE EL MUNICIPIO DE TIXPÉUAL, YUCATÁN PERCIBIRÁ DURANTE EL EJERCICIO FISCAL 202</w:t>
            </w:r>
            <w:r w:rsidR="00117D01" w:rsidRPr="00900A73">
              <w:rPr>
                <w:rFonts w:ascii="Arial" w:eastAsia="Arial" w:hAnsi="Arial"/>
                <w:b/>
                <w:color w:val="000000"/>
                <w:sz w:val="20"/>
                <w:szCs w:val="20"/>
                <w:lang w:val="es-ES" w:eastAsia="es-MX"/>
              </w:rPr>
              <w:t>5</w:t>
            </w:r>
            <w:r w:rsidRPr="00900A73">
              <w:rPr>
                <w:rFonts w:ascii="Arial" w:eastAsia="Arial" w:hAnsi="Arial"/>
                <w:b/>
                <w:color w:val="000000"/>
                <w:sz w:val="20"/>
                <w:szCs w:val="20"/>
                <w:lang w:val="es-ES" w:eastAsia="es-MX"/>
              </w:rPr>
              <w:t>, ASCENDERÁ A:</w:t>
            </w:r>
          </w:p>
        </w:tc>
        <w:tc>
          <w:tcPr>
            <w:tcW w:w="1245" w:type="pct"/>
          </w:tcPr>
          <w:p w14:paraId="1B095F26" w14:textId="4B10B6B5" w:rsidR="002B3741" w:rsidRPr="00900A73" w:rsidRDefault="002B3741" w:rsidP="0004384E">
            <w:pPr>
              <w:widowControl w:val="0"/>
              <w:pBdr>
                <w:top w:val="nil"/>
                <w:left w:val="nil"/>
                <w:bottom w:val="nil"/>
                <w:right w:val="nil"/>
                <w:between w:val="nil"/>
              </w:pBdr>
              <w:spacing w:after="0" w:line="360" w:lineRule="auto"/>
              <w:jc w:val="right"/>
              <w:rPr>
                <w:rFonts w:ascii="Arial" w:eastAsia="Arial" w:hAnsi="Arial"/>
                <w:b/>
                <w:color w:val="000000"/>
                <w:sz w:val="20"/>
                <w:szCs w:val="20"/>
                <w:lang w:val="es-ES" w:eastAsia="es-MX"/>
              </w:rPr>
            </w:pPr>
            <w:r w:rsidRPr="00900A73">
              <w:rPr>
                <w:rFonts w:ascii="Arial" w:eastAsia="Arial" w:hAnsi="Arial"/>
                <w:b/>
                <w:color w:val="000000"/>
                <w:sz w:val="20"/>
                <w:szCs w:val="20"/>
                <w:lang w:val="es-ES" w:eastAsia="es-MX"/>
              </w:rPr>
              <w:t>$</w:t>
            </w:r>
            <w:r w:rsidR="0004384E">
              <w:rPr>
                <w:rFonts w:ascii="Arial" w:eastAsia="Arial" w:hAnsi="Arial"/>
                <w:b/>
                <w:color w:val="000000"/>
                <w:sz w:val="20"/>
                <w:szCs w:val="20"/>
                <w:lang w:val="es-ES" w:eastAsia="es-MX"/>
              </w:rPr>
              <w:t xml:space="preserve">    </w:t>
            </w:r>
            <w:r w:rsidRPr="00900A73">
              <w:rPr>
                <w:rFonts w:ascii="Arial" w:eastAsia="Arial" w:hAnsi="Arial"/>
                <w:b/>
                <w:color w:val="000000"/>
                <w:sz w:val="20"/>
                <w:szCs w:val="20"/>
                <w:lang w:val="es-ES" w:eastAsia="es-MX"/>
              </w:rPr>
              <w:t>4</w:t>
            </w:r>
            <w:r w:rsidR="006B6141" w:rsidRPr="00900A73">
              <w:rPr>
                <w:rFonts w:ascii="Arial" w:eastAsia="Arial" w:hAnsi="Arial"/>
                <w:b/>
                <w:color w:val="000000"/>
                <w:sz w:val="20"/>
                <w:szCs w:val="20"/>
                <w:lang w:val="es-ES" w:eastAsia="es-MX"/>
              </w:rPr>
              <w:t>8</w:t>
            </w:r>
            <w:r w:rsidRPr="00900A73">
              <w:rPr>
                <w:rFonts w:ascii="Arial" w:eastAsia="Arial" w:hAnsi="Arial"/>
                <w:b/>
                <w:color w:val="000000"/>
                <w:sz w:val="20"/>
                <w:szCs w:val="20"/>
                <w:lang w:val="es-ES" w:eastAsia="es-MX"/>
              </w:rPr>
              <w:t>’</w:t>
            </w:r>
            <w:r w:rsidR="006B6141" w:rsidRPr="00900A73">
              <w:rPr>
                <w:rFonts w:ascii="Arial" w:eastAsia="Arial" w:hAnsi="Arial"/>
                <w:b/>
                <w:color w:val="000000"/>
                <w:sz w:val="20"/>
                <w:szCs w:val="20"/>
                <w:lang w:val="es-ES" w:eastAsia="es-MX"/>
              </w:rPr>
              <w:t>235</w:t>
            </w:r>
            <w:r w:rsidRPr="00900A73">
              <w:rPr>
                <w:rFonts w:ascii="Arial" w:eastAsia="Arial" w:hAnsi="Arial"/>
                <w:b/>
                <w:color w:val="000000"/>
                <w:sz w:val="20"/>
                <w:szCs w:val="20"/>
                <w:lang w:val="es-ES" w:eastAsia="es-MX"/>
              </w:rPr>
              <w:t>,</w:t>
            </w:r>
            <w:r w:rsidR="006B6141" w:rsidRPr="00900A73">
              <w:rPr>
                <w:rFonts w:ascii="Arial" w:eastAsia="Arial" w:hAnsi="Arial"/>
                <w:b/>
                <w:color w:val="000000"/>
                <w:sz w:val="20"/>
                <w:szCs w:val="20"/>
                <w:lang w:val="es-ES" w:eastAsia="es-MX"/>
              </w:rPr>
              <w:t>893</w:t>
            </w:r>
            <w:r w:rsidRPr="00900A73">
              <w:rPr>
                <w:rFonts w:ascii="Arial" w:eastAsia="Arial" w:hAnsi="Arial"/>
                <w:b/>
                <w:color w:val="000000"/>
                <w:sz w:val="20"/>
                <w:szCs w:val="20"/>
                <w:lang w:val="es-ES" w:eastAsia="es-MX"/>
              </w:rPr>
              <w:t>.00</w:t>
            </w:r>
          </w:p>
        </w:tc>
      </w:tr>
    </w:tbl>
    <w:p w14:paraId="32A49F6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708525A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14.- </w:t>
      </w:r>
      <w:r w:rsidRPr="00900A73">
        <w:rPr>
          <w:rFonts w:ascii="Arial" w:eastAsia="Arial" w:hAnsi="Arial"/>
          <w:color w:val="000000"/>
          <w:sz w:val="20"/>
          <w:szCs w:val="20"/>
          <w:lang w:val="es-ES" w:eastAsia="es-MX"/>
        </w:rPr>
        <w:t>Las contribuciones causadas en ejercicios fiscales anteriores, pendientes de liquidación o pago se cubrirán de conformidad con las disposiciones legales que rigieron en la época en que se causaron.</w:t>
      </w:r>
    </w:p>
    <w:p w14:paraId="3F03ABE7"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0AE6842E"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Artículo 15.</w:t>
      </w:r>
      <w:r w:rsidRPr="00900A73">
        <w:rPr>
          <w:rFonts w:ascii="Arial" w:eastAsia="Arial" w:hAnsi="Arial"/>
          <w:color w:val="000000"/>
          <w:sz w:val="20"/>
          <w:szCs w:val="20"/>
          <w:lang w:val="es-ES" w:eastAsia="es-MX"/>
        </w:rPr>
        <w:t xml:space="preserve">- El pago de las contribuciones se acredita con el recibo oficial expedido por la Tesorería del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o con los formatos de declaración sellados y tarjados por la misma tesorería o por las instituciones bancarias autorizadas para el efecto.</w:t>
      </w:r>
    </w:p>
    <w:p w14:paraId="48698239"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12B59050"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 xml:space="preserve">Artículo 16.- </w:t>
      </w:r>
      <w:r w:rsidRPr="00900A73">
        <w:rPr>
          <w:rFonts w:ascii="Arial" w:eastAsia="Arial" w:hAnsi="Arial"/>
          <w:color w:val="000000"/>
          <w:sz w:val="20"/>
          <w:szCs w:val="20"/>
          <w:lang w:val="es-ES" w:eastAsia="es-MX"/>
        </w:rPr>
        <w:t xml:space="preserve">Las contribuciones se causarán, liquidarán y recaudarán en los términos de la Ley de Hacienda para el Municipio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y a falta de disposición procedimental expresa, se aplicará supletoriamente el Código Fiscal del Estado de Yucatán y el Código Fiscal de la Federación, respectivamente.</w:t>
      </w:r>
    </w:p>
    <w:p w14:paraId="5A6E0B1A"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AACCD92"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b/>
          <w:color w:val="000000"/>
          <w:sz w:val="20"/>
          <w:szCs w:val="20"/>
          <w:lang w:val="es-ES" w:eastAsia="es-MX"/>
        </w:rPr>
        <w:t>Artículo 17.-</w:t>
      </w:r>
      <w:r w:rsidRPr="00900A73">
        <w:rPr>
          <w:rFonts w:ascii="Arial" w:eastAsia="Arial" w:hAnsi="Arial"/>
          <w:color w:val="000000"/>
          <w:sz w:val="20"/>
          <w:szCs w:val="20"/>
          <w:lang w:val="es-ES" w:eastAsia="es-MX"/>
        </w:rPr>
        <w:t xml:space="preserve"> El Ayuntamiento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xml:space="preserve">, Yucatán, podrá celebrar con el Gobierno Estatal los convenios necesarios para coordinarse administrativamente en las funciones de recaudación, </w:t>
      </w:r>
      <w:r w:rsidRPr="00900A73">
        <w:rPr>
          <w:rFonts w:ascii="Arial" w:eastAsia="Arial" w:hAnsi="Arial"/>
          <w:color w:val="000000"/>
          <w:sz w:val="20"/>
          <w:szCs w:val="20"/>
          <w:lang w:val="es-ES" w:eastAsia="es-MX"/>
        </w:rPr>
        <w:lastRenderedPageBreak/>
        <w:t>comprobación, determinación y cobranza de las contribuciones y créditos fiscales estatales y federales.</w:t>
      </w:r>
    </w:p>
    <w:p w14:paraId="62572DCF"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5853AE3" w14:textId="77777777" w:rsidR="002B3741" w:rsidRPr="00900A73"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r w:rsidRPr="00900A73">
        <w:rPr>
          <w:rFonts w:ascii="Arial" w:eastAsia="Arial" w:hAnsi="Arial"/>
          <w:color w:val="000000"/>
          <w:sz w:val="20"/>
          <w:szCs w:val="20"/>
          <w:lang w:val="es-ES" w:eastAsia="es-MX"/>
        </w:rPr>
        <w:t xml:space="preserve">De igual manera, el Ayuntamiento de </w:t>
      </w:r>
      <w:proofErr w:type="spellStart"/>
      <w:r w:rsidRPr="00900A73">
        <w:rPr>
          <w:rFonts w:ascii="Arial" w:eastAsia="Arial" w:hAnsi="Arial"/>
          <w:color w:val="000000"/>
          <w:sz w:val="20"/>
          <w:szCs w:val="20"/>
          <w:lang w:val="es-ES" w:eastAsia="es-MX"/>
        </w:rPr>
        <w:t>Tixpéual</w:t>
      </w:r>
      <w:proofErr w:type="spellEnd"/>
      <w:r w:rsidRPr="00900A73">
        <w:rPr>
          <w:rFonts w:ascii="Arial" w:eastAsia="Arial" w:hAnsi="Arial"/>
          <w:color w:val="000000"/>
          <w:sz w:val="20"/>
          <w:szCs w:val="20"/>
          <w:lang w:val="es-ES" w:eastAsia="es-MX"/>
        </w:rPr>
        <w:t>, Yucatán podrá establecer programas de apoyo a los deudores de la tesorería, mediante acuerdos autorizados por H. Cabildo, a fin de facilitar el cumplimiento de las cargas fiscales.</w:t>
      </w:r>
    </w:p>
    <w:p w14:paraId="2330E464" w14:textId="77777777" w:rsidR="002B3741" w:rsidRPr="00900A73" w:rsidRDefault="002B3741" w:rsidP="00900A73">
      <w:pPr>
        <w:widowControl w:val="0"/>
        <w:pBdr>
          <w:top w:val="nil"/>
          <w:left w:val="nil"/>
          <w:bottom w:val="nil"/>
          <w:right w:val="nil"/>
          <w:between w:val="nil"/>
        </w:pBdr>
        <w:spacing w:after="0" w:line="360" w:lineRule="auto"/>
        <w:jc w:val="center"/>
        <w:rPr>
          <w:rFonts w:ascii="Arial" w:eastAsia="Arial" w:hAnsi="Arial"/>
          <w:b/>
          <w:sz w:val="20"/>
          <w:szCs w:val="20"/>
          <w:lang w:eastAsia="es-MX"/>
        </w:rPr>
      </w:pPr>
    </w:p>
    <w:p w14:paraId="25B6A693" w14:textId="77777777" w:rsidR="002B3741" w:rsidRPr="00900A73" w:rsidRDefault="002B3741" w:rsidP="00900A73">
      <w:pPr>
        <w:widowControl w:val="0"/>
        <w:pBdr>
          <w:top w:val="nil"/>
          <w:left w:val="nil"/>
          <w:bottom w:val="nil"/>
          <w:right w:val="nil"/>
          <w:between w:val="nil"/>
        </w:pBdr>
        <w:spacing w:after="0" w:line="360" w:lineRule="auto"/>
        <w:jc w:val="center"/>
        <w:rPr>
          <w:rFonts w:ascii="Arial" w:eastAsia="Arial" w:hAnsi="Arial"/>
          <w:b/>
          <w:color w:val="000000"/>
          <w:sz w:val="20"/>
          <w:szCs w:val="20"/>
          <w:lang w:val="en-US" w:eastAsia="es-MX"/>
        </w:rPr>
      </w:pPr>
      <w:r w:rsidRPr="00900A73">
        <w:rPr>
          <w:rFonts w:ascii="Arial" w:eastAsia="Arial" w:hAnsi="Arial"/>
          <w:b/>
          <w:sz w:val="20"/>
          <w:szCs w:val="20"/>
          <w:lang w:val="en-US" w:eastAsia="es-MX"/>
        </w:rPr>
        <w:t xml:space="preserve">T r a n s </w:t>
      </w:r>
      <w:proofErr w:type="spellStart"/>
      <w:r w:rsidRPr="00900A73">
        <w:rPr>
          <w:rFonts w:ascii="Arial" w:eastAsia="Arial" w:hAnsi="Arial"/>
          <w:b/>
          <w:sz w:val="20"/>
          <w:szCs w:val="20"/>
          <w:lang w:val="en-US" w:eastAsia="es-MX"/>
        </w:rPr>
        <w:t>i</w:t>
      </w:r>
      <w:proofErr w:type="spellEnd"/>
      <w:r w:rsidRPr="00900A73">
        <w:rPr>
          <w:rFonts w:ascii="Arial" w:eastAsia="Arial" w:hAnsi="Arial"/>
          <w:b/>
          <w:sz w:val="20"/>
          <w:szCs w:val="20"/>
          <w:lang w:val="en-US" w:eastAsia="es-MX"/>
        </w:rPr>
        <w:t xml:space="preserve"> t o r </w:t>
      </w:r>
      <w:proofErr w:type="spellStart"/>
      <w:r w:rsidRPr="00900A73">
        <w:rPr>
          <w:rFonts w:ascii="Arial" w:eastAsia="Arial" w:hAnsi="Arial"/>
          <w:b/>
          <w:sz w:val="20"/>
          <w:szCs w:val="20"/>
          <w:lang w:val="en-US" w:eastAsia="es-MX"/>
        </w:rPr>
        <w:t>i</w:t>
      </w:r>
      <w:proofErr w:type="spellEnd"/>
      <w:r w:rsidRPr="00900A73">
        <w:rPr>
          <w:rFonts w:ascii="Arial" w:eastAsia="Arial" w:hAnsi="Arial"/>
          <w:b/>
          <w:sz w:val="20"/>
          <w:szCs w:val="20"/>
          <w:lang w:val="en-US" w:eastAsia="es-MX"/>
        </w:rPr>
        <w:t xml:space="preserve"> o </w:t>
      </w:r>
    </w:p>
    <w:p w14:paraId="6B210B80" w14:textId="77777777" w:rsidR="002B3741" w:rsidRPr="00900A73" w:rsidRDefault="002B3741" w:rsidP="00900A73">
      <w:pPr>
        <w:widowControl w:val="0"/>
        <w:spacing w:after="0" w:line="360" w:lineRule="auto"/>
        <w:jc w:val="both"/>
        <w:rPr>
          <w:rFonts w:ascii="Arial" w:eastAsia="Arial" w:hAnsi="Arial"/>
          <w:b/>
          <w:sz w:val="20"/>
          <w:szCs w:val="20"/>
          <w:lang w:val="en-US" w:eastAsia="es-MX"/>
        </w:rPr>
      </w:pPr>
    </w:p>
    <w:p w14:paraId="6ED21CC8" w14:textId="72BB80D3" w:rsidR="002B3741" w:rsidRDefault="002B3741"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bookmarkStart w:id="6" w:name="_gjdgxs" w:colFirst="0" w:colLast="0"/>
      <w:bookmarkEnd w:id="6"/>
      <w:r w:rsidRPr="00900A73">
        <w:rPr>
          <w:rFonts w:ascii="Arial" w:eastAsia="Arial" w:hAnsi="Arial"/>
          <w:b/>
          <w:color w:val="000000"/>
          <w:sz w:val="20"/>
          <w:szCs w:val="20"/>
          <w:lang w:val="es-ES" w:eastAsia="es-MX"/>
        </w:rPr>
        <w:t xml:space="preserve">Artículo </w:t>
      </w:r>
      <w:r w:rsidR="001C4323">
        <w:rPr>
          <w:rFonts w:ascii="Arial" w:eastAsia="Arial" w:hAnsi="Arial"/>
          <w:b/>
          <w:color w:val="000000"/>
          <w:sz w:val="20"/>
          <w:szCs w:val="20"/>
          <w:lang w:val="es-ES" w:eastAsia="es-MX"/>
        </w:rPr>
        <w:t>ú</w:t>
      </w:r>
      <w:r w:rsidR="000C669A" w:rsidRPr="00900A73">
        <w:rPr>
          <w:rFonts w:ascii="Arial" w:eastAsia="Arial" w:hAnsi="Arial"/>
          <w:b/>
          <w:color w:val="000000"/>
          <w:sz w:val="20"/>
          <w:szCs w:val="20"/>
          <w:lang w:val="es-ES" w:eastAsia="es-MX"/>
        </w:rPr>
        <w:t>nico.-</w:t>
      </w:r>
      <w:r w:rsidRPr="00900A73">
        <w:rPr>
          <w:rFonts w:ascii="Arial" w:eastAsia="Arial" w:hAnsi="Arial"/>
          <w:b/>
          <w:color w:val="000000"/>
          <w:sz w:val="20"/>
          <w:szCs w:val="20"/>
          <w:lang w:val="es-ES" w:eastAsia="es-MX"/>
        </w:rPr>
        <w:t xml:space="preserve"> </w:t>
      </w:r>
      <w:r w:rsidRPr="00900A73">
        <w:rPr>
          <w:rFonts w:ascii="Arial" w:eastAsia="Arial" w:hAnsi="Arial"/>
          <w:color w:val="000000"/>
          <w:sz w:val="20"/>
          <w:szCs w:val="20"/>
          <w:lang w:val="es-ES" w:eastAsia="es-MX"/>
        </w:rPr>
        <w:t>Para poder percibir aprovechamientos vía sanciones o infracciones por faltas administrativas, el Ayuntamiento deberá contar con los reglamentos municipales respectivos y con el Bando de Policía y Gobierno del Municipio, mismos que establecerán los montos de las sanciones correspondientes.</w:t>
      </w:r>
    </w:p>
    <w:p w14:paraId="3AB355CA" w14:textId="77777777" w:rsidR="00CD24BC" w:rsidRDefault="00CD24BC"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39F11842" w14:textId="77777777" w:rsidR="00105F23" w:rsidRPr="00FA5A04" w:rsidRDefault="00105F23" w:rsidP="00105F23">
      <w:pPr>
        <w:widowControl w:val="0"/>
        <w:autoSpaceDE w:val="0"/>
        <w:autoSpaceDN w:val="0"/>
        <w:spacing w:after="0" w:line="360" w:lineRule="auto"/>
        <w:jc w:val="center"/>
        <w:rPr>
          <w:rFonts w:ascii="Arial" w:eastAsia="Arial MT" w:hAnsi="Arial"/>
          <w:b/>
          <w:lang w:val="pt-BR"/>
        </w:rPr>
      </w:pPr>
      <w:r w:rsidRPr="00FA5A04">
        <w:rPr>
          <w:rFonts w:ascii="Arial" w:eastAsia="Arial MT" w:hAnsi="Arial"/>
          <w:b/>
          <w:lang w:val="pt-BR"/>
        </w:rPr>
        <w:t>T r a n s i t o r i o s</w:t>
      </w:r>
    </w:p>
    <w:p w14:paraId="713C7151" w14:textId="77777777" w:rsidR="00105F23" w:rsidRPr="00FA5A04" w:rsidRDefault="00105F23" w:rsidP="00105F23">
      <w:pPr>
        <w:widowControl w:val="0"/>
        <w:autoSpaceDE w:val="0"/>
        <w:autoSpaceDN w:val="0"/>
        <w:adjustRightInd w:val="0"/>
        <w:spacing w:after="0" w:line="360" w:lineRule="auto"/>
        <w:jc w:val="center"/>
        <w:rPr>
          <w:rFonts w:ascii="Arial" w:eastAsia="Arial MT" w:hAnsi="Arial"/>
          <w:b/>
          <w:lang w:val="pt-BR"/>
        </w:rPr>
      </w:pPr>
    </w:p>
    <w:p w14:paraId="36D42C5C" w14:textId="77777777" w:rsidR="00105F23" w:rsidRPr="00FA5A04" w:rsidRDefault="00105F23" w:rsidP="00105F23">
      <w:pPr>
        <w:widowControl w:val="0"/>
        <w:autoSpaceDE w:val="0"/>
        <w:autoSpaceDN w:val="0"/>
        <w:spacing w:after="0" w:line="360" w:lineRule="auto"/>
        <w:jc w:val="both"/>
        <w:rPr>
          <w:rFonts w:ascii="Arial" w:eastAsia="Arial MT" w:hAnsi="Arial"/>
        </w:rPr>
      </w:pPr>
      <w:r w:rsidRPr="00FA5A04">
        <w:rPr>
          <w:rFonts w:ascii="Arial" w:eastAsia="Arial MT" w:hAnsi="Arial"/>
          <w:b/>
        </w:rPr>
        <w:t xml:space="preserve">Artículo primero. </w:t>
      </w:r>
      <w:r w:rsidRPr="00FA5A04">
        <w:rPr>
          <w:rFonts w:ascii="Arial" w:eastAsia="Arial MT" w:hAnsi="Arial"/>
        </w:rPr>
        <w:t>Este decreto y las leyes contenidas en él, entrarán en vigor el día primero de enero del año dos mil veinticinco, previa su publicación en el Diario Oficial del Gobierno del Estado de Yucatán, y tendrán vigencia hasta el treinta y uno de diciembre del mismo año.</w:t>
      </w:r>
    </w:p>
    <w:p w14:paraId="04B689AF" w14:textId="77777777" w:rsidR="00105F23" w:rsidRPr="00FA5A04" w:rsidRDefault="00105F23" w:rsidP="00105F23">
      <w:pPr>
        <w:widowControl w:val="0"/>
        <w:autoSpaceDE w:val="0"/>
        <w:autoSpaceDN w:val="0"/>
        <w:spacing w:after="0" w:line="360" w:lineRule="auto"/>
        <w:jc w:val="both"/>
        <w:rPr>
          <w:rFonts w:ascii="Arial" w:eastAsia="Arial MT" w:hAnsi="Arial"/>
        </w:rPr>
      </w:pPr>
    </w:p>
    <w:p w14:paraId="69CCC441" w14:textId="77777777" w:rsidR="00105F23" w:rsidRPr="00FA5A04" w:rsidRDefault="00105F23" w:rsidP="00105F23">
      <w:pPr>
        <w:widowControl w:val="0"/>
        <w:autoSpaceDE w:val="0"/>
        <w:autoSpaceDN w:val="0"/>
        <w:spacing w:after="0" w:line="360" w:lineRule="auto"/>
        <w:jc w:val="both"/>
        <w:rPr>
          <w:rFonts w:ascii="Arial" w:eastAsia="Arial MT" w:hAnsi="Arial"/>
          <w:shd w:val="clear" w:color="auto" w:fill="FFFFFF"/>
        </w:rPr>
      </w:pPr>
      <w:r w:rsidRPr="00FA5A04">
        <w:rPr>
          <w:rFonts w:ascii="Arial" w:eastAsia="Arial MT" w:hAnsi="Arial"/>
          <w:b/>
        </w:rPr>
        <w:t xml:space="preserve">Artículo segundo. </w:t>
      </w:r>
      <w:r w:rsidRPr="00FA5A04">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A5A04">
        <w:rPr>
          <w:rFonts w:ascii="Arial" w:eastAsia="Arial MT" w:hAnsi="Arial"/>
          <w:bCs/>
          <w:iCs/>
          <w:shd w:val="clear" w:color="auto" w:fill="FFFFFF"/>
        </w:rPr>
        <w:t xml:space="preserve">dará </w:t>
      </w:r>
      <w:r w:rsidRPr="00FA5A04">
        <w:rPr>
          <w:rFonts w:ascii="Arial" w:eastAsia="Arial MT" w:hAnsi="Arial"/>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DB4175">
        <w:rPr>
          <w:rFonts w:ascii="Arial" w:eastAsia="Arial MT" w:hAnsi="Arial"/>
          <w:shd w:val="clear" w:color="auto" w:fill="FFFFFF"/>
        </w:rPr>
        <w:t>Aportaciones para el Fortalecimiento de los Municipios y de las demarcaciones territoriales del Distrito Federal, entre los ayuntamientos del Estado de Yucatán para el Ejercicio Fiscal 2025.</w:t>
      </w:r>
    </w:p>
    <w:p w14:paraId="6F91EEF7" w14:textId="77777777" w:rsidR="00105F23" w:rsidRPr="00FA5A04" w:rsidRDefault="00105F23" w:rsidP="00105F23">
      <w:pPr>
        <w:widowControl w:val="0"/>
        <w:autoSpaceDE w:val="0"/>
        <w:autoSpaceDN w:val="0"/>
        <w:spacing w:after="0" w:line="360" w:lineRule="auto"/>
        <w:jc w:val="both"/>
        <w:rPr>
          <w:rFonts w:ascii="Arial" w:eastAsia="Arial MT" w:hAnsi="Arial"/>
          <w:b/>
          <w:shd w:val="clear" w:color="auto" w:fill="FFFFFF"/>
        </w:rPr>
      </w:pPr>
    </w:p>
    <w:p w14:paraId="4C897583" w14:textId="77777777" w:rsidR="00105F23" w:rsidRPr="00FA5A04" w:rsidRDefault="00105F23" w:rsidP="00105F23">
      <w:pPr>
        <w:widowControl w:val="0"/>
        <w:autoSpaceDE w:val="0"/>
        <w:autoSpaceDN w:val="0"/>
        <w:spacing w:after="0" w:line="360" w:lineRule="auto"/>
        <w:jc w:val="both"/>
        <w:rPr>
          <w:rFonts w:ascii="Arial" w:eastAsia="Arial MT" w:hAnsi="Arial"/>
        </w:rPr>
      </w:pPr>
      <w:r w:rsidRPr="00FA5A04">
        <w:rPr>
          <w:rFonts w:ascii="Arial" w:eastAsia="Arial MT" w:hAnsi="Arial"/>
          <w:b/>
          <w:shd w:val="clear" w:color="auto" w:fill="FFFFFF"/>
        </w:rPr>
        <w:t xml:space="preserve">Artículo tercero. </w:t>
      </w:r>
      <w:r w:rsidRPr="00FA5A04">
        <w:rPr>
          <w:rFonts w:ascii="Arial" w:eastAsia="Arial MT" w:hAnsi="Arial"/>
        </w:rPr>
        <w:t xml:space="preserve">El cobro de los derechos, así como las cuotas y tarifas aplicables a los servicios que, a la fecha del inicio de la vigencia de las leyes contenidas en este decreto, no hayan sido transferidos formalmente a los ayuntamientos por el Poder Ejecutivo del Estado, </w:t>
      </w:r>
      <w:r w:rsidRPr="00FA5A04">
        <w:rPr>
          <w:rFonts w:ascii="Arial" w:eastAsia="Arial MT" w:hAnsi="Arial"/>
        </w:rPr>
        <w:lastRenderedPageBreak/>
        <w:t>entrarán en vigor hasta la celebración del convenio respectivo.</w:t>
      </w:r>
    </w:p>
    <w:p w14:paraId="506DFF20" w14:textId="77777777" w:rsidR="00105F23" w:rsidRPr="00FA5A04" w:rsidRDefault="00105F23" w:rsidP="00105F23">
      <w:pPr>
        <w:widowControl w:val="0"/>
        <w:autoSpaceDE w:val="0"/>
        <w:autoSpaceDN w:val="0"/>
        <w:spacing w:after="0" w:line="360" w:lineRule="auto"/>
        <w:jc w:val="both"/>
        <w:rPr>
          <w:rFonts w:ascii="Arial" w:eastAsia="Arial MT" w:hAnsi="Arial"/>
        </w:rPr>
      </w:pPr>
    </w:p>
    <w:p w14:paraId="26E154FB" w14:textId="77777777" w:rsidR="00105F23" w:rsidRPr="00FA5A04" w:rsidRDefault="00105F23" w:rsidP="00105F23">
      <w:pPr>
        <w:widowControl w:val="0"/>
        <w:autoSpaceDE w:val="0"/>
        <w:autoSpaceDN w:val="0"/>
        <w:spacing w:after="0" w:line="360" w:lineRule="auto"/>
        <w:jc w:val="both"/>
        <w:rPr>
          <w:rFonts w:ascii="Arial" w:eastAsia="Arial MT" w:hAnsi="Arial"/>
        </w:rPr>
      </w:pPr>
      <w:r w:rsidRPr="00FA5A04">
        <w:rPr>
          <w:rFonts w:ascii="Arial" w:eastAsia="Arial MT" w:hAnsi="Arial"/>
          <w:b/>
        </w:rPr>
        <w:t>Artículo cuarto.</w:t>
      </w:r>
      <w:r w:rsidRPr="00FA5A04">
        <w:rPr>
          <w:rFonts w:ascii="Arial" w:eastAsia="Arial MT" w:hAnsi="Arial"/>
        </w:rPr>
        <w:t xml:space="preserve"> </w:t>
      </w:r>
      <w:r w:rsidRPr="00FA5A04">
        <w:rPr>
          <w:rFonts w:ascii="Arial" w:eastAsia="Arial MT" w:hAnsi="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FA5A04">
        <w:rPr>
          <w:rFonts w:ascii="Arial" w:eastAsia="Arial MT" w:hAnsi="Arial"/>
          <w:lang w:val="es-ES"/>
        </w:rPr>
        <w:t>.</w:t>
      </w:r>
    </w:p>
    <w:p w14:paraId="6963D8CB" w14:textId="77777777" w:rsidR="00105F23" w:rsidRDefault="00105F23" w:rsidP="00900A73">
      <w:pPr>
        <w:widowControl w:val="0"/>
        <w:pBdr>
          <w:top w:val="nil"/>
          <w:left w:val="nil"/>
          <w:bottom w:val="nil"/>
          <w:right w:val="nil"/>
          <w:between w:val="nil"/>
        </w:pBdr>
        <w:spacing w:after="0" w:line="360" w:lineRule="auto"/>
        <w:jc w:val="both"/>
        <w:rPr>
          <w:rFonts w:ascii="Arial" w:eastAsia="Arial" w:hAnsi="Arial"/>
          <w:color w:val="000000"/>
          <w:sz w:val="20"/>
          <w:szCs w:val="20"/>
          <w:lang w:val="es-ES" w:eastAsia="es-MX"/>
        </w:rPr>
      </w:pPr>
    </w:p>
    <w:p w14:paraId="4E30A14B" w14:textId="77777777" w:rsidR="00CD24BC" w:rsidRPr="00103194" w:rsidRDefault="00CD24BC" w:rsidP="00CD24BC">
      <w:pPr>
        <w:spacing w:after="0" w:line="240" w:lineRule="auto"/>
        <w:ind w:hanging="10"/>
        <w:jc w:val="both"/>
        <w:rPr>
          <w:rFonts w:ascii="Arial" w:eastAsia="Arial" w:hAnsi="Arial"/>
          <w:b/>
          <w:bCs/>
          <w:sz w:val="20"/>
          <w:szCs w:val="20"/>
        </w:rPr>
      </w:pPr>
      <w:bookmarkStart w:id="7" w:name="_Hlk188868056"/>
      <w:r w:rsidRPr="00103194">
        <w:rPr>
          <w:rFonts w:ascii="Arial" w:eastAsia="Arial" w:hAnsi="Arial"/>
          <w:b/>
          <w:bCs/>
          <w:sz w:val="20"/>
          <w:szCs w:val="20"/>
        </w:rPr>
        <w:t xml:space="preserve">DADO EN EL SALÓN DE SESIONES ‘‘CONSTITUYENTES DE 1918’’ DEL RECINTO DEL PODER LEGISLATIVO, EN LA CIUDAD DE MÉRIDA, YUCATÁN, A LOS TRECE DÍAS DEL MES DE DICIEMBRE DEL AÑO DOS MIL </w:t>
      </w:r>
      <w:proofErr w:type="gramStart"/>
      <w:r w:rsidRPr="00103194">
        <w:rPr>
          <w:rFonts w:ascii="Arial" w:eastAsia="Arial" w:hAnsi="Arial"/>
          <w:b/>
          <w:bCs/>
          <w:sz w:val="20"/>
          <w:szCs w:val="20"/>
        </w:rPr>
        <w:t>VEINTICUATRO.-</w:t>
      </w:r>
      <w:proofErr w:type="gramEnd"/>
      <w:r w:rsidRPr="00103194">
        <w:rPr>
          <w:rFonts w:ascii="Arial" w:eastAsia="Arial" w:hAnsi="Arial"/>
          <w:b/>
          <w:bCs/>
          <w:sz w:val="20"/>
          <w:szCs w:val="20"/>
        </w:rPr>
        <w:t xml:space="preserve"> PRESIDENTA DIPUTADA NEYDA ARACELLY PAT DZUL.- SECRETARIO DIPUTADO ÁLVARO CETINA PUERTO.- SECRETARIO DIPUTADO FRANCISCO ROSAS VILLAVICENCIO.- RÚBRICAS.” </w:t>
      </w:r>
    </w:p>
    <w:p w14:paraId="3AA88E64" w14:textId="77777777" w:rsidR="00CD24BC" w:rsidRDefault="00CD24BC" w:rsidP="00CD24BC">
      <w:pPr>
        <w:spacing w:after="0" w:line="240" w:lineRule="auto"/>
        <w:ind w:hanging="10"/>
        <w:jc w:val="both"/>
        <w:rPr>
          <w:rFonts w:ascii="Arial" w:eastAsia="Arial" w:hAnsi="Arial"/>
          <w:sz w:val="20"/>
          <w:szCs w:val="20"/>
        </w:rPr>
      </w:pPr>
    </w:p>
    <w:p w14:paraId="6F6B6B7D" w14:textId="77777777" w:rsidR="00CD24BC" w:rsidRDefault="00CD24BC" w:rsidP="00CD24B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Y, por tanto, mando se imprima, publique y circule para su conocimiento y debido cumplimiento. </w:t>
      </w:r>
    </w:p>
    <w:p w14:paraId="0707A076" w14:textId="77777777" w:rsidR="00CD24BC" w:rsidRDefault="00CD24BC" w:rsidP="00CD24BC">
      <w:pPr>
        <w:spacing w:after="0" w:line="240" w:lineRule="auto"/>
        <w:ind w:hanging="10"/>
        <w:jc w:val="both"/>
        <w:rPr>
          <w:rFonts w:ascii="Arial" w:eastAsia="Arial" w:hAnsi="Arial"/>
          <w:sz w:val="20"/>
          <w:szCs w:val="20"/>
        </w:rPr>
      </w:pPr>
    </w:p>
    <w:p w14:paraId="4AA380B2" w14:textId="77777777" w:rsidR="00CD24BC" w:rsidRDefault="00CD24BC" w:rsidP="00CD24BC">
      <w:pPr>
        <w:spacing w:after="0" w:line="240" w:lineRule="auto"/>
        <w:ind w:hanging="10"/>
        <w:jc w:val="both"/>
        <w:rPr>
          <w:rFonts w:ascii="Arial" w:eastAsia="Arial" w:hAnsi="Arial"/>
          <w:sz w:val="20"/>
          <w:szCs w:val="20"/>
        </w:rPr>
      </w:pPr>
      <w:r w:rsidRPr="00535FB8">
        <w:rPr>
          <w:rFonts w:ascii="Arial" w:eastAsia="Arial" w:hAnsi="Arial"/>
          <w:sz w:val="20"/>
          <w:szCs w:val="20"/>
        </w:rPr>
        <w:t xml:space="preserve">Se expide este decreto en la sede del Poder Ejecutivo, en Mérida, Yucatán, a 23 de diciembre de 2024. </w:t>
      </w:r>
    </w:p>
    <w:p w14:paraId="7D8CFE7B" w14:textId="77777777" w:rsidR="00CD24BC" w:rsidRDefault="00CD24BC" w:rsidP="00CD24BC">
      <w:pPr>
        <w:spacing w:after="0" w:line="240" w:lineRule="auto"/>
        <w:ind w:hanging="10"/>
        <w:jc w:val="both"/>
        <w:rPr>
          <w:rFonts w:ascii="Arial" w:eastAsia="Arial" w:hAnsi="Arial"/>
          <w:sz w:val="20"/>
          <w:szCs w:val="20"/>
        </w:rPr>
      </w:pPr>
    </w:p>
    <w:p w14:paraId="250BC260" w14:textId="77777777" w:rsidR="00CD24BC" w:rsidRPr="00535FB8" w:rsidRDefault="00CD24BC" w:rsidP="00CD24BC">
      <w:pPr>
        <w:spacing w:after="0" w:line="240" w:lineRule="auto"/>
        <w:ind w:hanging="10"/>
        <w:jc w:val="center"/>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w:t>
      </w:r>
    </w:p>
    <w:p w14:paraId="4F2CA2EF" w14:textId="77777777" w:rsidR="00CD24BC" w:rsidRPr="00535FB8" w:rsidRDefault="00CD24BC" w:rsidP="00CD24B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Mtro. Joaquín Jesús Díaz Mena</w:t>
      </w:r>
    </w:p>
    <w:p w14:paraId="7E737E4A" w14:textId="77777777" w:rsidR="00CD24BC" w:rsidRPr="00535FB8" w:rsidRDefault="00CD24BC" w:rsidP="00CD24BC">
      <w:pPr>
        <w:spacing w:after="0" w:line="240" w:lineRule="auto"/>
        <w:ind w:hanging="10"/>
        <w:jc w:val="center"/>
        <w:rPr>
          <w:rFonts w:ascii="Arial" w:eastAsia="Arial" w:hAnsi="Arial"/>
          <w:b/>
          <w:bCs/>
          <w:sz w:val="20"/>
          <w:szCs w:val="20"/>
        </w:rPr>
      </w:pPr>
      <w:r w:rsidRPr="00535FB8">
        <w:rPr>
          <w:rFonts w:ascii="Arial" w:eastAsia="Arial" w:hAnsi="Arial"/>
          <w:b/>
          <w:bCs/>
          <w:sz w:val="20"/>
          <w:szCs w:val="20"/>
        </w:rPr>
        <w:t>Gobernador del Estado de Yucatán</w:t>
      </w:r>
    </w:p>
    <w:p w14:paraId="2FC0EA6C" w14:textId="77777777" w:rsidR="00CD24BC" w:rsidRPr="00535FB8" w:rsidRDefault="00CD24BC" w:rsidP="00CD24BC">
      <w:pPr>
        <w:spacing w:after="0" w:line="240" w:lineRule="auto"/>
        <w:ind w:hanging="10"/>
        <w:jc w:val="both"/>
        <w:rPr>
          <w:rFonts w:ascii="Arial" w:eastAsia="Arial" w:hAnsi="Arial"/>
          <w:b/>
          <w:bCs/>
          <w:sz w:val="20"/>
          <w:szCs w:val="20"/>
        </w:rPr>
      </w:pPr>
    </w:p>
    <w:p w14:paraId="16EE0FB9" w14:textId="77777777" w:rsidR="00CD24BC" w:rsidRPr="00535FB8" w:rsidRDefault="00CD24BC" w:rsidP="00CD24BC">
      <w:pPr>
        <w:spacing w:after="0" w:line="240" w:lineRule="auto"/>
        <w:ind w:hanging="10"/>
        <w:jc w:val="both"/>
        <w:rPr>
          <w:rFonts w:ascii="Arial" w:eastAsia="Arial" w:hAnsi="Arial"/>
          <w:b/>
          <w:bCs/>
          <w:sz w:val="20"/>
          <w:szCs w:val="20"/>
        </w:rPr>
      </w:pPr>
      <w:proofErr w:type="gramStart"/>
      <w:r w:rsidRPr="00535FB8">
        <w:rPr>
          <w:rFonts w:ascii="Arial" w:eastAsia="Arial" w:hAnsi="Arial"/>
          <w:b/>
          <w:bCs/>
          <w:sz w:val="20"/>
          <w:szCs w:val="20"/>
        </w:rPr>
        <w:t>( RÚBRICA</w:t>
      </w:r>
      <w:proofErr w:type="gramEnd"/>
      <w:r w:rsidRPr="00535FB8">
        <w:rPr>
          <w:rFonts w:ascii="Arial" w:eastAsia="Arial" w:hAnsi="Arial"/>
          <w:b/>
          <w:bCs/>
          <w:sz w:val="20"/>
          <w:szCs w:val="20"/>
        </w:rPr>
        <w:t xml:space="preserve"> ) </w:t>
      </w:r>
    </w:p>
    <w:p w14:paraId="45DDE18E" w14:textId="77777777" w:rsidR="00CD24BC" w:rsidRPr="00535FB8" w:rsidRDefault="00CD24BC" w:rsidP="00CD24BC">
      <w:pPr>
        <w:spacing w:after="0" w:line="240" w:lineRule="auto"/>
        <w:ind w:hanging="10"/>
        <w:jc w:val="both"/>
        <w:rPr>
          <w:rFonts w:ascii="Arial" w:eastAsia="Arial" w:hAnsi="Arial"/>
          <w:b/>
          <w:bCs/>
          <w:sz w:val="20"/>
          <w:szCs w:val="20"/>
        </w:rPr>
      </w:pPr>
      <w:r w:rsidRPr="00535FB8">
        <w:rPr>
          <w:rFonts w:ascii="Arial" w:eastAsia="Arial" w:hAnsi="Arial"/>
          <w:b/>
          <w:bCs/>
          <w:sz w:val="20"/>
          <w:szCs w:val="20"/>
        </w:rPr>
        <w:t xml:space="preserve">Mtro. Omar David Pérez Avilés </w:t>
      </w:r>
    </w:p>
    <w:p w14:paraId="6C22EB03" w14:textId="77777777" w:rsidR="00CD24BC" w:rsidRPr="00CA132E" w:rsidRDefault="00CD24BC" w:rsidP="00CD24BC">
      <w:pPr>
        <w:spacing w:after="0" w:line="240" w:lineRule="auto"/>
        <w:ind w:hanging="10"/>
        <w:jc w:val="both"/>
        <w:rPr>
          <w:rFonts w:ascii="Arial" w:hAnsi="Arial"/>
          <w:sz w:val="20"/>
          <w:szCs w:val="20"/>
        </w:rPr>
      </w:pPr>
      <w:r w:rsidRPr="00535FB8">
        <w:rPr>
          <w:rFonts w:ascii="Arial" w:eastAsia="Arial" w:hAnsi="Arial"/>
          <w:b/>
          <w:bCs/>
          <w:sz w:val="20"/>
          <w:szCs w:val="20"/>
        </w:rPr>
        <w:t>Secretario General de Gobierno</w:t>
      </w:r>
      <w:bookmarkEnd w:id="7"/>
    </w:p>
    <w:p w14:paraId="45C914D2" w14:textId="77777777" w:rsidR="00CD24BC" w:rsidRPr="00900A73" w:rsidRDefault="00CD24BC" w:rsidP="00900A73">
      <w:pPr>
        <w:widowControl w:val="0"/>
        <w:pBdr>
          <w:top w:val="nil"/>
          <w:left w:val="nil"/>
          <w:bottom w:val="nil"/>
          <w:right w:val="nil"/>
          <w:between w:val="nil"/>
        </w:pBdr>
        <w:spacing w:after="0" w:line="360" w:lineRule="auto"/>
        <w:jc w:val="both"/>
        <w:rPr>
          <w:rFonts w:ascii="Arial" w:eastAsia="Arial MT" w:hAnsi="Arial"/>
          <w:color w:val="000000"/>
          <w:sz w:val="20"/>
          <w:szCs w:val="20"/>
          <w:lang w:val="es-ES" w:eastAsia="es-MX"/>
        </w:rPr>
      </w:pPr>
    </w:p>
    <w:sectPr w:rsidR="00CD24BC" w:rsidRPr="00900A73" w:rsidSect="00C30922">
      <w:headerReference w:type="default" r:id="rId17"/>
      <w:footerReference w:type="default" r:id="rId18"/>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0C6E" w14:textId="77777777" w:rsidR="00B376AB" w:rsidRDefault="00B376AB">
      <w:pPr>
        <w:spacing w:after="0" w:line="240" w:lineRule="auto"/>
      </w:pPr>
      <w:r>
        <w:separator/>
      </w:r>
    </w:p>
  </w:endnote>
  <w:endnote w:type="continuationSeparator" w:id="0">
    <w:p w14:paraId="38B9FDC8" w14:textId="77777777" w:rsidR="00B376AB" w:rsidRDefault="00B3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A04E" w14:textId="77777777" w:rsidR="00CD24BC" w:rsidRDefault="00CD24BC"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A739A71" w14:textId="77777777" w:rsidR="00CD24BC" w:rsidRDefault="00CD24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862B" w14:textId="77777777" w:rsidR="00CD24BC" w:rsidRDefault="00CD24BC"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DFEBE6" w14:textId="77777777" w:rsidR="00CD24BC" w:rsidRDefault="00CD24B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89DF" w14:textId="77777777" w:rsidR="001C1913" w:rsidRPr="009C3E88" w:rsidRDefault="001C191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C30922" w:rsidRPr="00C30922">
      <w:rPr>
        <w:rFonts w:ascii="Arial" w:hAnsi="Arial"/>
        <w:noProof/>
        <w:sz w:val="20"/>
        <w:szCs w:val="20"/>
        <w:lang w:val="es-ES"/>
      </w:rPr>
      <w:t>1</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8003" w14:textId="77777777" w:rsidR="00B376AB" w:rsidRDefault="00B376AB">
      <w:pPr>
        <w:spacing w:after="0" w:line="240" w:lineRule="auto"/>
      </w:pPr>
      <w:r>
        <w:separator/>
      </w:r>
    </w:p>
  </w:footnote>
  <w:footnote w:type="continuationSeparator" w:id="0">
    <w:p w14:paraId="65798370" w14:textId="77777777" w:rsidR="00B376AB" w:rsidRDefault="00B376AB">
      <w:pPr>
        <w:spacing w:after="0" w:line="240" w:lineRule="auto"/>
      </w:pPr>
      <w:r>
        <w:continuationSeparator/>
      </w:r>
    </w:p>
  </w:footnote>
  <w:footnote w:id="1">
    <w:p w14:paraId="2122194B" w14:textId="77777777" w:rsidR="00CD24BC" w:rsidRPr="00776E50" w:rsidRDefault="00CD24BC" w:rsidP="00CD24BC">
      <w:pPr>
        <w:jc w:val="both"/>
        <w:rPr>
          <w:sz w:val="12"/>
          <w:szCs w:val="12"/>
        </w:rPr>
      </w:pPr>
      <w:r w:rsidRPr="00776E50">
        <w:rPr>
          <w:rStyle w:val="Refdenotaalpie"/>
          <w:rFonts w:ascii="Arial" w:hAnsi="Arial"/>
          <w:sz w:val="12"/>
          <w:szCs w:val="12"/>
        </w:rPr>
        <w:footnoteRef/>
      </w:r>
      <w:r w:rsidRPr="00776E50">
        <w:rPr>
          <w:rFonts w:ascii="Arial" w:hAnsi="Arial"/>
          <w:sz w:val="12"/>
          <w:szCs w:val="12"/>
        </w:rPr>
        <w:t xml:space="preserve"> Tesis: 1a. CXI/2010, </w:t>
      </w:r>
      <w:r w:rsidRPr="00776E50">
        <w:rPr>
          <w:rFonts w:ascii="Arial" w:hAnsi="Arial"/>
          <w:i/>
          <w:sz w:val="12"/>
          <w:szCs w:val="12"/>
        </w:rPr>
        <w:t xml:space="preserve">Semanario Judicial de la Federación y su Gaceta, </w:t>
      </w:r>
      <w:r w:rsidRPr="00776E50">
        <w:rPr>
          <w:rFonts w:ascii="Arial" w:hAnsi="Arial"/>
          <w:sz w:val="12"/>
          <w:szCs w:val="12"/>
        </w:rPr>
        <w:t>Novena Época, Tomo XXXII, Noviembre de 2010, p. 1213.</w:t>
      </w:r>
    </w:p>
  </w:footnote>
  <w:footnote w:id="2">
    <w:p w14:paraId="3431178E" w14:textId="77777777" w:rsidR="00CD24BC" w:rsidRPr="00776E50" w:rsidRDefault="00CD24BC" w:rsidP="00CD24B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Tesis: P./J. 120/2009, </w:t>
      </w:r>
      <w:r w:rsidRPr="00776E50">
        <w:rPr>
          <w:rFonts w:ascii="Arial" w:hAnsi="Arial" w:cs="Arial"/>
          <w:i/>
          <w:sz w:val="12"/>
          <w:szCs w:val="12"/>
        </w:rPr>
        <w:t xml:space="preserve">Semanario Judicial de la Federación y su Gaceta, </w:t>
      </w:r>
      <w:r w:rsidRPr="00776E50">
        <w:rPr>
          <w:rFonts w:ascii="Arial" w:hAnsi="Arial" w:cs="Arial"/>
          <w:sz w:val="12"/>
          <w:szCs w:val="12"/>
        </w:rPr>
        <w:t>Novena Época, Tomo XXX, diciembre de 2009, p. 1255.</w:t>
      </w:r>
    </w:p>
    <w:p w14:paraId="5A617D19" w14:textId="77777777" w:rsidR="00CD24BC" w:rsidRPr="0055215F" w:rsidRDefault="00CD24BC" w:rsidP="00CD24BC">
      <w:pPr>
        <w:pStyle w:val="Textonotapie"/>
        <w:rPr>
          <w:lang w:val="es-MX"/>
        </w:rPr>
      </w:pPr>
    </w:p>
  </w:footnote>
  <w:footnote w:id="3">
    <w:p w14:paraId="6909121A" w14:textId="77777777" w:rsidR="00CD24BC" w:rsidRPr="00776E50" w:rsidRDefault="00CD24BC" w:rsidP="00CD24BC">
      <w:pPr>
        <w:pStyle w:val="Textonotapie"/>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Suprema Corte de Justicia de la Nación. Controversia Constitucional 10/2014. Párrafo 142, Página 82</w:t>
      </w:r>
    </w:p>
  </w:footnote>
  <w:footnote w:id="4">
    <w:p w14:paraId="1C087079" w14:textId="77777777" w:rsidR="00CD24BC" w:rsidRPr="00776E50" w:rsidRDefault="00CD24BC" w:rsidP="00CD24BC">
      <w:pPr>
        <w:adjustRightInd w:val="0"/>
        <w:spacing w:after="240"/>
        <w:jc w:val="both"/>
        <w:rPr>
          <w:rFonts w:ascii="Arial" w:hAnsi="Arial"/>
          <w:i/>
          <w:sz w:val="12"/>
          <w:szCs w:val="12"/>
        </w:rPr>
      </w:pPr>
      <w:r w:rsidRPr="00776E50">
        <w:rPr>
          <w:rStyle w:val="Refdenotaalpie"/>
          <w:rFonts w:ascii="Arial" w:hAnsi="Arial"/>
          <w:sz w:val="12"/>
          <w:szCs w:val="12"/>
        </w:rPr>
        <w:footnoteRef/>
      </w:r>
      <w:r w:rsidRPr="00776E50">
        <w:rPr>
          <w:rFonts w:ascii="Arial" w:hAnsi="Arial"/>
          <w:sz w:val="12"/>
          <w:szCs w:val="12"/>
        </w:rPr>
        <w:t xml:space="preserve"> </w:t>
      </w:r>
      <w:r w:rsidRPr="00776E50">
        <w:rPr>
          <w:rFonts w:ascii="Arial" w:hAnsi="Arial"/>
          <w:i/>
          <w:sz w:val="12"/>
          <w:szCs w:val="12"/>
        </w:rPr>
        <w:t xml:space="preserve">Época: Novena Época, Registro: 163468, Instancia: Primera Sala, Tipo de Tesis: Aislada, Fuente: Semanario Judicial de la Federación y su Gaceta, Tomo XXXII, noviembre de 2010, Materia(s): Constitucional, Tesis: 1a. CXI/2010, Página: 1213 </w:t>
      </w:r>
    </w:p>
    <w:p w14:paraId="0ACFA38F" w14:textId="77777777" w:rsidR="00CD24BC" w:rsidRPr="00791FEA" w:rsidRDefault="00CD24BC" w:rsidP="00CD24BC">
      <w:pPr>
        <w:pStyle w:val="Textonotapie"/>
      </w:pPr>
    </w:p>
  </w:footnote>
  <w:footnote w:id="5">
    <w:p w14:paraId="5AC25101" w14:textId="77777777" w:rsidR="00CD24BC" w:rsidRPr="00D60D3C" w:rsidRDefault="00CD24BC" w:rsidP="00CD24BC">
      <w:pPr>
        <w:pStyle w:val="Textonotapie"/>
        <w:jc w:val="both"/>
        <w:rPr>
          <w:rFonts w:ascii="Arial" w:hAnsi="Arial" w:cs="Arial"/>
          <w:sz w:val="16"/>
          <w:szCs w:val="16"/>
          <w:lang w:val="es-MX"/>
        </w:rPr>
      </w:pPr>
      <w:r w:rsidRPr="00D60D3C">
        <w:rPr>
          <w:rStyle w:val="Refdenotaalpie"/>
          <w:rFonts w:ascii="Arial" w:hAnsi="Arial" w:cs="Arial"/>
          <w:sz w:val="16"/>
          <w:szCs w:val="16"/>
        </w:rPr>
        <w:footnoteRef/>
      </w:r>
      <w:r w:rsidRPr="00D60D3C">
        <w:rPr>
          <w:rFonts w:ascii="Arial" w:hAnsi="Arial" w:cs="Arial"/>
          <w:sz w:val="16"/>
          <w:szCs w:val="16"/>
        </w:rPr>
        <w:t xml:space="preserve"> P./J. 11/2006, Semanario Judicial de la Federación y su Gaceta, Tomo XXIV, Novena época, octubre</w:t>
      </w:r>
      <w:r>
        <w:rPr>
          <w:rFonts w:ascii="Arial" w:hAnsi="Arial" w:cs="Arial"/>
          <w:sz w:val="16"/>
          <w:szCs w:val="16"/>
        </w:rPr>
        <w:t>, 2006.</w:t>
      </w:r>
    </w:p>
  </w:footnote>
  <w:footnote w:id="6">
    <w:p w14:paraId="6BAA8C12" w14:textId="77777777" w:rsidR="00CD24BC" w:rsidRDefault="00CD24BC" w:rsidP="00CD24BC">
      <w:pPr>
        <w:rPr>
          <w:rFonts w:ascii="Arial" w:hAnsi="Arial"/>
          <w:sz w:val="16"/>
          <w:szCs w:val="16"/>
        </w:rPr>
      </w:pPr>
      <w:r>
        <w:rPr>
          <w:rStyle w:val="Refdenotaalpie"/>
          <w:rFonts w:ascii="Arial" w:hAnsi="Arial"/>
          <w:sz w:val="16"/>
          <w:szCs w:val="16"/>
        </w:rPr>
        <w:footnoteRef/>
      </w:r>
      <w:r>
        <w:rPr>
          <w:rFonts w:ascii="Arial" w:hAnsi="Arial"/>
          <w:sz w:val="16"/>
          <w:szCs w:val="16"/>
        </w:rPr>
        <w:t xml:space="preserve"> Época: Décima Época; Registro: 160552; Instancia: Tribunales Colegiados de Circuito; Tipo de Tesis: Jurisprudencia; Fuente: Semanario Judicial de la Federación y su Gaceta; Libro III, </w:t>
      </w:r>
      <w:r>
        <w:rPr>
          <w:rFonts w:ascii="Arial" w:hAnsi="Arial"/>
          <w:sz w:val="16"/>
          <w:szCs w:val="16"/>
        </w:rPr>
        <w:t>Diciembre de 2011, Tomo 5; Materia(s): Constitucional; Tesis: I.4o.A. J/103 (9a.); Página: 3587.</w:t>
      </w:r>
    </w:p>
  </w:footnote>
  <w:footnote w:id="7">
    <w:p w14:paraId="08CC8049" w14:textId="77777777" w:rsidR="00CD24BC" w:rsidRPr="00776E50" w:rsidRDefault="00CD24BC" w:rsidP="00CD24BC">
      <w:pPr>
        <w:pStyle w:val="Textonotapie"/>
        <w:jc w:val="both"/>
        <w:rPr>
          <w:rFonts w:ascii="Arial" w:hAnsi="Arial" w:cs="Arial"/>
          <w:sz w:val="12"/>
          <w:szCs w:val="12"/>
          <w:lang w:val="es-MX"/>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Tesis: 2ª./J. 119/2012 (10ª.), </w:t>
      </w:r>
      <w:r w:rsidRPr="00776E50">
        <w:rPr>
          <w:rFonts w:ascii="Arial" w:hAnsi="Arial" w:cs="Arial"/>
          <w:sz w:val="12"/>
          <w:szCs w:val="12"/>
        </w:rPr>
        <w:t>Semanario Judicial de la Federación y su Gaceta, Registro digital: 2001897.</w:t>
      </w:r>
    </w:p>
  </w:footnote>
  <w:footnote w:id="8">
    <w:p w14:paraId="286219CF" w14:textId="77777777" w:rsidR="00CD24BC" w:rsidRPr="00776E50" w:rsidRDefault="00CD24BC" w:rsidP="00CD24B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w:t>
      </w:r>
      <w:r w:rsidRPr="00776E50">
        <w:rPr>
          <w:rFonts w:ascii="Arial" w:hAnsi="Arial" w:cs="Arial"/>
          <w:sz w:val="12"/>
          <w:szCs w:val="12"/>
          <w:lang w:val="es-MX"/>
        </w:rPr>
        <w:t xml:space="preserve">Ley de Coordinación Fiscal. </w:t>
      </w:r>
      <w:r w:rsidRPr="00776E50">
        <w:rPr>
          <w:rFonts w:ascii="Arial" w:hAnsi="Arial" w:cs="Arial"/>
          <w:sz w:val="12"/>
          <w:szCs w:val="12"/>
        </w:rPr>
        <w:t xml:space="preserve">Artículo 10.- Las Entidades que deseen adherirse al Sistema Nacional de Coordinación Fiscal para recibir las participaciones que establezca esta Ley, lo harán mediante convenio que celebren con la Secretaría de Hacienda y Crédito Público, que deberá ser autorizado o aprobado por su legislatura. También, con autorización de la legislatura podrán dar por terminado el convenio. </w:t>
      </w:r>
    </w:p>
    <w:p w14:paraId="5684D0E5"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La Secretaría de Hacienda y Crédito Público y el Gobierno de la Entidad de que se trate, ordenarán la publicación en el Diario Oficial de la Federación y en el Periódico Oficial de la Entidad, respectivamente, del convenio celebrado, por el cual la Entidad se adhiera; del acto por el que se separe del sistema; y de los decretos de la Legislatura de la Entidad por los cuales se autoricen o se aprueben dichos actos, que surtirán efectos a partir del día siguiente a la publicación que se efectúe en último lugar. </w:t>
      </w:r>
    </w:p>
    <w:p w14:paraId="404ED1F5" w14:textId="77777777" w:rsidR="00CD24BC" w:rsidRPr="00776E50" w:rsidRDefault="00CD24BC" w:rsidP="00CD24BC">
      <w:pPr>
        <w:pStyle w:val="Textonotapie"/>
        <w:jc w:val="both"/>
        <w:rPr>
          <w:rFonts w:ascii="Arial" w:hAnsi="Arial" w:cs="Arial"/>
          <w:sz w:val="12"/>
          <w:szCs w:val="12"/>
          <w:lang w:val="es-MX"/>
        </w:rPr>
      </w:pPr>
      <w:r w:rsidRPr="00776E50">
        <w:rPr>
          <w:rFonts w:ascii="Arial" w:hAnsi="Arial" w:cs="Arial"/>
          <w:sz w:val="12"/>
          <w:szCs w:val="12"/>
        </w:rPr>
        <w:t>La adhesión al Sistema Nacional de Coordinación Fiscal deberá llevarse a cabo integralmente y no sólo en relación con algunos de los ingresos de la Federación. Las Entidades que no deseen adherirse al Sistema Nacional de Coordinación Fiscal, participarán en los impuestos especiales a que se refiere el inciso 5o. de la fracción XXIX, del artículo 73 constitucional, en los términos que establecen las leyes respectivas.</w:t>
      </w:r>
    </w:p>
    <w:p w14:paraId="2AD98C02" w14:textId="77777777" w:rsidR="00CD24BC" w:rsidRPr="000D12FA" w:rsidRDefault="00CD24BC" w:rsidP="00CD24BC">
      <w:pPr>
        <w:pStyle w:val="Textonotapie"/>
        <w:rPr>
          <w:lang w:val="es-MX"/>
        </w:rPr>
      </w:pPr>
    </w:p>
  </w:footnote>
  <w:footnote w:id="9">
    <w:p w14:paraId="76DCE0B2" w14:textId="77777777" w:rsidR="00CD24BC" w:rsidRPr="00776E50" w:rsidRDefault="00CD24BC" w:rsidP="00CD24BC">
      <w:pPr>
        <w:pStyle w:val="Textonotapie"/>
        <w:jc w:val="both"/>
        <w:rPr>
          <w:rFonts w:ascii="Arial" w:hAnsi="Arial" w:cs="Arial"/>
          <w:sz w:val="12"/>
          <w:szCs w:val="12"/>
        </w:rPr>
      </w:pPr>
      <w:r w:rsidRPr="00776E50">
        <w:rPr>
          <w:rStyle w:val="Refdenotaalpie"/>
          <w:rFonts w:ascii="Arial" w:hAnsi="Arial" w:cs="Arial"/>
          <w:sz w:val="12"/>
          <w:szCs w:val="12"/>
        </w:rPr>
        <w:footnoteRef/>
      </w:r>
      <w:r w:rsidRPr="00776E50">
        <w:rPr>
          <w:rFonts w:ascii="Arial" w:hAnsi="Arial" w:cs="Arial"/>
          <w:sz w:val="12"/>
          <w:szCs w:val="12"/>
        </w:rPr>
        <w:t xml:space="preserve"> Artículo 10-A.- Las entidades federativas que opten por coordinarse en derechos, no mantendrán en vigor derechos estatales o municipales por: </w:t>
      </w:r>
    </w:p>
    <w:p w14:paraId="12A500CE"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I.- Licencias, anuencias previas al otorgamiento de </w:t>
      </w:r>
      <w:r w:rsidRPr="00776E50">
        <w:rPr>
          <w:rFonts w:ascii="Arial" w:hAnsi="Arial" w:cs="Arial"/>
          <w:sz w:val="12"/>
          <w:szCs w:val="12"/>
        </w:rPr>
        <w:t xml:space="preserve">las mismas, en general concesiones, permisos o autorizaciones, o bien obligaciones y requisitos que condicionen el ejercicio de actividades comerciales o industriales y de prestación de servicios. Asimismo, los que resulten como consecuencia de permitir o tolerar excepciones a una disposición administrativa tales como la ampliación de horario, con excepción de las siguientes: a).- Licencias de construcción. b).- Licencias o permisos para efectuar conexiones a las redes públicas de agua y alcantarillado. c).- Licencias para fraccionar o lotificar terrenos. d).- Licencias para conducir vehículos. e).- Expedición de placas y tarjeta para la circulación de vehículos. f).-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g).- Licencias, permisos o autorizaciones para la colocación de anuncios y carteles o la realización de publicidad, excepto los que se realicen por medio de televisión, radio, periódicos y revistas. </w:t>
      </w:r>
    </w:p>
    <w:p w14:paraId="5F1CA74A"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II.- Registros o cualquier acto relacionado con los mismos, a excepción de los siguientes: a).- Registro Civil b).- Registro de la Propiedad y del Comercio. </w:t>
      </w:r>
    </w:p>
    <w:p w14:paraId="694AB485"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III.- Uso de las vías públicas o la tenencia de bienes sobre las mismas. No se considerarán comprendidos dentro de lo dispuesto en esta fracción los derechos de estacionamiento de vehículos, el uso de la vía pública por comerciantes ambulantes o con puestos fijos o semifijos, ni por el uso o tenencia de anuncios. </w:t>
      </w:r>
    </w:p>
    <w:p w14:paraId="71FC4F12"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IV.- Actos de inspección y vigilancia. </w:t>
      </w:r>
    </w:p>
    <w:p w14:paraId="77724FEF"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V.- Los conceptos a que se refieren las fracciones anteriores, sin excepción alguna, en relación con las actividades o servicios que realicen o presten las personas respecto del uso, goce, explotación o aprovechamiento de bienes de dominio público en materia eléctrica, de hidrocarburos o de telecomunicaciones. </w:t>
      </w:r>
    </w:p>
    <w:p w14:paraId="77718153"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Los derechos locales o municipales no podrán ser diferenciales considerando el tipo de actividad a que se dedique el contribuyente, excepto tratándose de derechos diferenciales por los conceptos a los que se refieren los incisos del a) al g) de la fracción I y la fracción III. </w:t>
      </w:r>
    </w:p>
    <w:p w14:paraId="587B56F2"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Las certificaciones de documentos así como la reposición de éstos por extravío o destrucción parcial o total, no quedará comprendida dentro de lo dispuesto en las fracciones I y II de este artículo. Tampoco quedan comprendidas las concesiones por el uso o aprovechamiento de bienes pertenecientes a las Entidades Federativas o a los Municipios</w:t>
      </w:r>
    </w:p>
    <w:p w14:paraId="0EC35D41"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En ningún caso lo dispuesto en este artículo, se entenderá que limita la facultad de los Estados y Municipios para requerir licencias, registros, permisos o autorizaciones, otorgar concesiones y realizar actos de inspección y vigilancia. Para el ejercicio de estas facultades no se podrá exigir cobro alguno, con las salvedades expresamente señaladas en este artículo. </w:t>
      </w:r>
    </w:p>
    <w:p w14:paraId="77DD4A32" w14:textId="77777777" w:rsidR="00CD24BC" w:rsidRPr="00776E50" w:rsidRDefault="00CD24BC" w:rsidP="00CD24BC">
      <w:pPr>
        <w:pStyle w:val="Textonotapie"/>
        <w:jc w:val="both"/>
        <w:rPr>
          <w:rFonts w:ascii="Arial" w:hAnsi="Arial" w:cs="Arial"/>
          <w:sz w:val="12"/>
          <w:szCs w:val="12"/>
        </w:rPr>
      </w:pPr>
      <w:r w:rsidRPr="00776E50">
        <w:rPr>
          <w:rFonts w:ascii="Arial" w:hAnsi="Arial" w:cs="Arial"/>
          <w:sz w:val="12"/>
          <w:szCs w:val="12"/>
        </w:rPr>
        <w:t xml:space="preserve">Para los efectos de coordinación con las Entidades, se considerarán derechos, </w:t>
      </w:r>
      <w:r w:rsidRPr="00776E50">
        <w:rPr>
          <w:rFonts w:ascii="Arial" w:hAnsi="Arial" w:cs="Arial"/>
          <w:sz w:val="12"/>
          <w:szCs w:val="12"/>
        </w:rPr>
        <w:t>aún cuando tengan una denominación distinta en la legislación local correspondiente, las contribuciones que tengan las características de derecho conforme al Código Fiscal de la Federación y la Ley de Ingresos de la Federación.</w:t>
      </w:r>
    </w:p>
    <w:p w14:paraId="7F745A38" w14:textId="77777777" w:rsidR="00CD24BC" w:rsidRPr="00776E50" w:rsidRDefault="00CD24BC" w:rsidP="00CD24BC">
      <w:pPr>
        <w:pStyle w:val="Textonotapie"/>
        <w:jc w:val="both"/>
        <w:rPr>
          <w:rFonts w:ascii="Arial" w:hAnsi="Arial" w:cs="Arial"/>
          <w:sz w:val="12"/>
          <w:szCs w:val="12"/>
          <w:lang w:val="es-MX"/>
        </w:rPr>
      </w:pPr>
      <w:r w:rsidRPr="00776E50">
        <w:rPr>
          <w:rFonts w:ascii="Arial" w:hAnsi="Arial" w:cs="Arial"/>
          <w:sz w:val="12"/>
          <w:szCs w:val="12"/>
        </w:rPr>
        <w:t>También se considerarán como derechos para los efectos de este artículo, las contribuciones u otros cobros, cualquiera que sea su denominación, que tengan la característica de derechos de acuerdo con el Código Fiscal de la Federación, aun cuando se cobren por concepto de aportaciones, cooperaciones, donativos, productos, aprovechamientos o como garantía de pago por posibles infracciones.</w:t>
      </w:r>
    </w:p>
  </w:footnote>
  <w:footnote w:id="10">
    <w:p w14:paraId="2DB61280" w14:textId="77777777" w:rsidR="00CD24BC" w:rsidRPr="008B0A6A" w:rsidRDefault="00CD24BC" w:rsidP="00CD24B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w:t>
      </w:r>
      <w:r w:rsidRPr="008B0A6A">
        <w:rPr>
          <w:rFonts w:ascii="Arial" w:hAnsi="Arial" w:cs="Arial"/>
          <w:sz w:val="16"/>
          <w:szCs w:val="16"/>
        </w:rPr>
        <w:t xml:space="preserve">PC.III.A.J/1 A (10a.), </w:t>
      </w:r>
      <w:r w:rsidRPr="008B0A6A">
        <w:rPr>
          <w:rFonts w:ascii="Arial" w:hAnsi="Arial" w:cs="Arial"/>
          <w:sz w:val="16"/>
          <w:szCs w:val="16"/>
          <w:shd w:val="clear" w:color="auto" w:fill="FFFFFF"/>
        </w:rPr>
        <w:t>Gaceta del Semanario Judicial de la Federación. Décima Época, Libro 2, t. III, enero 2014, p. 2034.</w:t>
      </w:r>
    </w:p>
  </w:footnote>
  <w:footnote w:id="11">
    <w:p w14:paraId="3CF09197" w14:textId="77777777" w:rsidR="00CD24BC" w:rsidRPr="008B0A6A" w:rsidRDefault="00CD24BC" w:rsidP="00CD24B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P./J. 32/2012 (10a.), </w:t>
      </w:r>
      <w:r w:rsidRPr="008B0A6A">
        <w:rPr>
          <w:rFonts w:ascii="Arial" w:hAnsi="Arial" w:cs="Arial"/>
          <w:sz w:val="16"/>
          <w:szCs w:val="16"/>
          <w:shd w:val="clear" w:color="auto" w:fill="FFFFFF"/>
        </w:rPr>
        <w:t>Semanario Judicial de la Federación y su Gaceta. Décima Época, Libro XV, t. I, diciembre 2012, p. 64.</w:t>
      </w:r>
      <w:r w:rsidRPr="008B0A6A">
        <w:rPr>
          <w:rFonts w:ascii="Arial" w:hAnsi="Arial" w:cs="Arial"/>
          <w:sz w:val="16"/>
          <w:szCs w:val="16"/>
        </w:rPr>
        <w:tab/>
      </w:r>
    </w:p>
  </w:footnote>
  <w:footnote w:id="12">
    <w:p w14:paraId="740E2691" w14:textId="77777777" w:rsidR="00CD24BC" w:rsidRPr="008B0A6A" w:rsidRDefault="00CD24BC" w:rsidP="00CD24BC">
      <w:pPr>
        <w:pStyle w:val="Textonotapie"/>
        <w:jc w:val="both"/>
        <w:rPr>
          <w:rFonts w:ascii="Arial" w:hAnsi="Arial" w:cs="Arial"/>
          <w:sz w:val="16"/>
          <w:szCs w:val="16"/>
        </w:rPr>
      </w:pPr>
      <w:r w:rsidRPr="008B0A6A">
        <w:rPr>
          <w:rStyle w:val="Refdenotaalpie"/>
          <w:rFonts w:ascii="Arial" w:hAnsi="Arial" w:cs="Arial"/>
          <w:sz w:val="16"/>
          <w:szCs w:val="16"/>
        </w:rPr>
        <w:footnoteRef/>
      </w:r>
      <w:r w:rsidRPr="008B0A6A">
        <w:rPr>
          <w:rFonts w:ascii="Arial" w:hAnsi="Arial" w:cs="Arial"/>
          <w:sz w:val="16"/>
          <w:szCs w:val="16"/>
        </w:rPr>
        <w:t xml:space="preserve"> Tesis: PC.XXV. J/12 A (10a.), </w:t>
      </w:r>
      <w:r w:rsidRPr="008B0A6A">
        <w:rPr>
          <w:rFonts w:ascii="Arial" w:hAnsi="Arial" w:cs="Arial"/>
          <w:sz w:val="16"/>
          <w:szCs w:val="16"/>
          <w:shd w:val="clear" w:color="auto" w:fill="FFFFFF"/>
        </w:rPr>
        <w:t>Gaceta del Semanario Judicial de la Federación. Décima Época, Libro 80, t. II, noviembre 2020, p. 1486.</w:t>
      </w:r>
    </w:p>
    <w:p w14:paraId="5DEA8B46" w14:textId="77777777" w:rsidR="00CD24BC" w:rsidRPr="008B0A6A" w:rsidRDefault="00CD24BC" w:rsidP="00CD24BC">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D24BC" w14:paraId="47E2D544" w14:textId="77777777" w:rsidTr="0095677F">
      <w:trPr>
        <w:cantSplit/>
        <w:trHeight w:val="329"/>
      </w:trPr>
      <w:tc>
        <w:tcPr>
          <w:tcW w:w="1260" w:type="dxa"/>
          <w:vMerge w:val="restart"/>
          <w:vAlign w:val="center"/>
        </w:tcPr>
        <w:p w14:paraId="62CE34AA" w14:textId="77777777" w:rsidR="00CD24BC" w:rsidRDefault="00CD24BC" w:rsidP="00AC6F52">
          <w:pPr>
            <w:pStyle w:val="Encabezado"/>
            <w:rPr>
              <w:rFonts w:ascii="CG Omega" w:hAnsi="CG Omega" w:cs="CG Omega"/>
              <w:sz w:val="16"/>
              <w:szCs w:val="16"/>
            </w:rPr>
          </w:pPr>
          <w:r w:rsidRPr="00385D64">
            <w:rPr>
              <w:rFonts w:ascii="CG Omega" w:hAnsi="CG Omega" w:cs="CG Omega"/>
              <w:sz w:val="16"/>
              <w:szCs w:val="16"/>
            </w:rPr>
            <w:object w:dxaOrig="1122" w:dyaOrig="991" w14:anchorId="159DD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99743546" r:id="rId2"/>
            </w:object>
          </w:r>
        </w:p>
      </w:tc>
      <w:tc>
        <w:tcPr>
          <w:tcW w:w="9000" w:type="dxa"/>
          <w:gridSpan w:val="2"/>
          <w:tcBorders>
            <w:bottom w:val="double" w:sz="4" w:space="0" w:color="auto"/>
          </w:tcBorders>
          <w:vAlign w:val="bottom"/>
        </w:tcPr>
        <w:p w14:paraId="1BC74D07" w14:textId="77777777" w:rsidR="00CD24BC" w:rsidRDefault="00CD24BC" w:rsidP="00AC6F5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MÉRIDA, YUCATÁN, PARA EL EJERCICIO FISCAL 2024.</w:t>
          </w:r>
        </w:p>
      </w:tc>
    </w:tr>
    <w:tr w:rsidR="00CD24BC" w14:paraId="74A7DD23" w14:textId="77777777" w:rsidTr="0095677F">
      <w:trPr>
        <w:cantSplit/>
        <w:trHeight w:val="49"/>
      </w:trPr>
      <w:tc>
        <w:tcPr>
          <w:tcW w:w="1260" w:type="dxa"/>
          <w:vMerge/>
        </w:tcPr>
        <w:p w14:paraId="641C75BB" w14:textId="77777777" w:rsidR="00CD24BC" w:rsidRDefault="00CD24BC" w:rsidP="00AC6F52">
          <w:pPr>
            <w:pStyle w:val="Encabezado"/>
            <w:rPr>
              <w:rFonts w:ascii="CG Omega" w:hAnsi="CG Omega" w:cs="CG Omega"/>
              <w:sz w:val="16"/>
              <w:szCs w:val="16"/>
            </w:rPr>
          </w:pPr>
        </w:p>
      </w:tc>
      <w:tc>
        <w:tcPr>
          <w:tcW w:w="9000" w:type="dxa"/>
          <w:gridSpan w:val="2"/>
          <w:tcBorders>
            <w:top w:val="double" w:sz="4" w:space="0" w:color="auto"/>
          </w:tcBorders>
        </w:tcPr>
        <w:p w14:paraId="32DD7395" w14:textId="77777777" w:rsidR="00CD24BC" w:rsidRDefault="00CD24BC" w:rsidP="00AC6F52">
          <w:pPr>
            <w:pStyle w:val="Encabezado"/>
            <w:ind w:left="-70"/>
            <w:jc w:val="right"/>
            <w:rPr>
              <w:rFonts w:ascii="Arial Narrow" w:hAnsi="Arial Narrow" w:cs="Arial Narrow"/>
              <w:sz w:val="4"/>
              <w:szCs w:val="4"/>
            </w:rPr>
          </w:pPr>
        </w:p>
      </w:tc>
    </w:tr>
    <w:tr w:rsidR="00CD24BC" w:rsidRPr="001D52AB" w14:paraId="712FA0AE" w14:textId="77777777" w:rsidTr="0095677F">
      <w:trPr>
        <w:cantSplit/>
        <w:trHeight w:val="291"/>
      </w:trPr>
      <w:tc>
        <w:tcPr>
          <w:tcW w:w="1260" w:type="dxa"/>
          <w:vMerge/>
        </w:tcPr>
        <w:p w14:paraId="66DB88E4" w14:textId="77777777" w:rsidR="00CD24BC" w:rsidRDefault="00CD24BC" w:rsidP="00AC6F52">
          <w:pPr>
            <w:pStyle w:val="Encabezado"/>
            <w:rPr>
              <w:rFonts w:ascii="CG Omega" w:hAnsi="CG Omega" w:cs="CG Omega"/>
              <w:sz w:val="16"/>
              <w:szCs w:val="16"/>
            </w:rPr>
          </w:pPr>
        </w:p>
      </w:tc>
      <w:tc>
        <w:tcPr>
          <w:tcW w:w="4212" w:type="dxa"/>
        </w:tcPr>
        <w:p w14:paraId="0F1F725D" w14:textId="77777777" w:rsidR="00CD24BC" w:rsidRPr="004048C7" w:rsidRDefault="00CD24BC" w:rsidP="00AC6F52">
          <w:pPr>
            <w:pStyle w:val="Encabezado"/>
            <w:ind w:left="110"/>
            <w:rPr>
              <w:rFonts w:ascii="Arial" w:hAnsi="Arial"/>
              <w:b/>
              <w:bCs/>
              <w:sz w:val="17"/>
              <w:szCs w:val="17"/>
            </w:rPr>
          </w:pPr>
          <w:r w:rsidRPr="004048C7">
            <w:rPr>
              <w:rFonts w:ascii="Arial" w:hAnsi="Arial"/>
              <w:b/>
              <w:bCs/>
              <w:sz w:val="17"/>
              <w:szCs w:val="17"/>
            </w:rPr>
            <w:t>H. Congreso del Estado de Yucatán</w:t>
          </w:r>
        </w:p>
        <w:p w14:paraId="447323F7" w14:textId="77777777" w:rsidR="00CD24BC" w:rsidRPr="004048C7" w:rsidRDefault="00CD24BC" w:rsidP="00AC6F52">
          <w:pPr>
            <w:pStyle w:val="Encabezado"/>
            <w:ind w:left="110"/>
            <w:rPr>
              <w:rFonts w:ascii="Arial" w:hAnsi="Arial"/>
              <w:sz w:val="17"/>
              <w:szCs w:val="17"/>
            </w:rPr>
          </w:pPr>
          <w:r>
            <w:rPr>
              <w:rFonts w:ascii="Arial" w:hAnsi="Arial"/>
              <w:sz w:val="17"/>
              <w:szCs w:val="17"/>
            </w:rPr>
            <w:t>Secretaría General del Poder Legislativo</w:t>
          </w:r>
        </w:p>
        <w:p w14:paraId="10378DD4" w14:textId="77777777" w:rsidR="00CD24BC" w:rsidRPr="004048C7" w:rsidRDefault="00CD24BC" w:rsidP="00AC6F52">
          <w:pPr>
            <w:pStyle w:val="Encabezado"/>
            <w:ind w:left="110"/>
            <w:rPr>
              <w:rFonts w:ascii="Arial" w:hAnsi="Arial"/>
              <w:sz w:val="17"/>
              <w:szCs w:val="17"/>
            </w:rPr>
          </w:pPr>
          <w:r w:rsidRPr="004048C7">
            <w:rPr>
              <w:rFonts w:ascii="Arial" w:hAnsi="Arial"/>
              <w:sz w:val="17"/>
              <w:szCs w:val="17"/>
            </w:rPr>
            <w:t>Unidad de Servicios Técnico-Legislativos</w:t>
          </w:r>
        </w:p>
        <w:p w14:paraId="3E48C25A" w14:textId="77777777" w:rsidR="00CD24BC" w:rsidRDefault="00CD24BC" w:rsidP="00AC6F52">
          <w:pPr>
            <w:pStyle w:val="Encabezado"/>
            <w:ind w:left="-70"/>
            <w:rPr>
              <w:rFonts w:ascii="Arial Narrow" w:hAnsi="Arial Narrow" w:cs="Arial Narrow"/>
              <w:sz w:val="4"/>
              <w:szCs w:val="4"/>
            </w:rPr>
          </w:pPr>
        </w:p>
      </w:tc>
      <w:tc>
        <w:tcPr>
          <w:tcW w:w="4788" w:type="dxa"/>
        </w:tcPr>
        <w:p w14:paraId="0854C35A" w14:textId="77777777" w:rsidR="00CD24BC" w:rsidRDefault="00CD24BC" w:rsidP="00AC6F52">
          <w:pPr>
            <w:pStyle w:val="Encabezado"/>
            <w:ind w:left="-70"/>
            <w:jc w:val="right"/>
            <w:rPr>
              <w:rFonts w:ascii="Arial" w:hAnsi="Arial"/>
              <w:i/>
              <w:iCs/>
              <w:sz w:val="18"/>
              <w:szCs w:val="18"/>
            </w:rPr>
          </w:pPr>
          <w:r>
            <w:rPr>
              <w:rFonts w:ascii="Arial" w:hAnsi="Arial"/>
              <w:i/>
              <w:iCs/>
              <w:sz w:val="18"/>
              <w:szCs w:val="18"/>
            </w:rPr>
            <w:t>Nueva Publicación D.O. 28-diciembre-2023</w:t>
          </w:r>
        </w:p>
        <w:p w14:paraId="36D70034" w14:textId="77777777" w:rsidR="00CD24BC" w:rsidRPr="001D52AB" w:rsidRDefault="00CD24BC" w:rsidP="00AC6F52">
          <w:pPr>
            <w:pStyle w:val="Encabezado"/>
            <w:ind w:left="-70"/>
            <w:jc w:val="right"/>
            <w:rPr>
              <w:rFonts w:ascii="Arial" w:hAnsi="Arial"/>
              <w:i/>
              <w:iCs/>
              <w:sz w:val="18"/>
              <w:szCs w:val="18"/>
            </w:rPr>
          </w:pPr>
        </w:p>
      </w:tc>
    </w:tr>
  </w:tbl>
  <w:p w14:paraId="4B343297" w14:textId="77777777" w:rsidR="00CD24BC" w:rsidRDefault="00CD24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D24BC" w14:paraId="1D7BB4FF" w14:textId="77777777" w:rsidTr="003F4851">
      <w:trPr>
        <w:cantSplit/>
        <w:trHeight w:val="329"/>
      </w:trPr>
      <w:tc>
        <w:tcPr>
          <w:tcW w:w="1260" w:type="dxa"/>
          <w:vMerge w:val="restart"/>
          <w:vAlign w:val="center"/>
        </w:tcPr>
        <w:bookmarkStart w:id="8" w:name="_Hlk188868129"/>
        <w:p w14:paraId="45501BB5" w14:textId="77777777" w:rsidR="00CD24BC" w:rsidRDefault="00CD24BC" w:rsidP="00CD24BC">
          <w:pPr>
            <w:pStyle w:val="Encabezado"/>
            <w:rPr>
              <w:rFonts w:ascii="CG Omega" w:hAnsi="CG Omega" w:cs="CG Omega"/>
              <w:sz w:val="16"/>
              <w:szCs w:val="16"/>
            </w:rPr>
          </w:pPr>
          <w:r w:rsidRPr="00385D64">
            <w:rPr>
              <w:rFonts w:ascii="CG Omega" w:hAnsi="CG Omega" w:cs="CG Omega"/>
              <w:sz w:val="16"/>
              <w:szCs w:val="16"/>
            </w:rPr>
            <w:object w:dxaOrig="1122" w:dyaOrig="972" w14:anchorId="7C46D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799743547" r:id="rId2"/>
            </w:object>
          </w:r>
        </w:p>
      </w:tc>
      <w:tc>
        <w:tcPr>
          <w:tcW w:w="9000" w:type="dxa"/>
          <w:gridSpan w:val="2"/>
          <w:tcBorders>
            <w:bottom w:val="double" w:sz="4" w:space="0" w:color="auto"/>
          </w:tcBorders>
          <w:vAlign w:val="bottom"/>
        </w:tcPr>
        <w:p w14:paraId="2D43CF7D" w14:textId="1690CBE4" w:rsidR="00CD24BC" w:rsidRDefault="00CD24BC" w:rsidP="00CD24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TIXPEUAL, YUCATÁN, PARA EL EJERCICIO FISCAL 2025.</w:t>
          </w:r>
        </w:p>
      </w:tc>
    </w:tr>
    <w:tr w:rsidR="00CD24BC" w14:paraId="5B2DA0BD" w14:textId="77777777" w:rsidTr="003F4851">
      <w:trPr>
        <w:cantSplit/>
        <w:trHeight w:val="49"/>
      </w:trPr>
      <w:tc>
        <w:tcPr>
          <w:tcW w:w="1260" w:type="dxa"/>
          <w:vMerge/>
        </w:tcPr>
        <w:p w14:paraId="2DDB5229" w14:textId="77777777" w:rsidR="00CD24BC" w:rsidRDefault="00CD24BC" w:rsidP="00CD24BC">
          <w:pPr>
            <w:pStyle w:val="Encabezado"/>
            <w:rPr>
              <w:rFonts w:ascii="CG Omega" w:hAnsi="CG Omega" w:cs="CG Omega"/>
              <w:sz w:val="16"/>
              <w:szCs w:val="16"/>
            </w:rPr>
          </w:pPr>
        </w:p>
      </w:tc>
      <w:tc>
        <w:tcPr>
          <w:tcW w:w="9000" w:type="dxa"/>
          <w:gridSpan w:val="2"/>
          <w:tcBorders>
            <w:top w:val="double" w:sz="4" w:space="0" w:color="auto"/>
          </w:tcBorders>
        </w:tcPr>
        <w:p w14:paraId="51EBB939" w14:textId="77777777" w:rsidR="00CD24BC" w:rsidRDefault="00CD24BC" w:rsidP="00CD24BC">
          <w:pPr>
            <w:pStyle w:val="Encabezado"/>
            <w:ind w:left="-70"/>
            <w:jc w:val="right"/>
            <w:rPr>
              <w:rFonts w:ascii="Arial Narrow" w:hAnsi="Arial Narrow" w:cs="Arial Narrow"/>
              <w:sz w:val="4"/>
              <w:szCs w:val="4"/>
            </w:rPr>
          </w:pPr>
        </w:p>
      </w:tc>
    </w:tr>
    <w:tr w:rsidR="00CD24BC" w:rsidRPr="001D52AB" w14:paraId="1C2FC36A" w14:textId="77777777" w:rsidTr="003F4851">
      <w:trPr>
        <w:cantSplit/>
        <w:trHeight w:val="291"/>
      </w:trPr>
      <w:tc>
        <w:tcPr>
          <w:tcW w:w="1260" w:type="dxa"/>
          <w:vMerge/>
        </w:tcPr>
        <w:p w14:paraId="007C551F" w14:textId="77777777" w:rsidR="00CD24BC" w:rsidRDefault="00CD24BC" w:rsidP="00CD24BC">
          <w:pPr>
            <w:pStyle w:val="Encabezado"/>
            <w:rPr>
              <w:rFonts w:ascii="CG Omega" w:hAnsi="CG Omega" w:cs="CG Omega"/>
              <w:sz w:val="16"/>
              <w:szCs w:val="16"/>
            </w:rPr>
          </w:pPr>
        </w:p>
      </w:tc>
      <w:tc>
        <w:tcPr>
          <w:tcW w:w="4212" w:type="dxa"/>
        </w:tcPr>
        <w:p w14:paraId="3CDA2D4D" w14:textId="77777777" w:rsidR="00CD24BC" w:rsidRPr="004048C7" w:rsidRDefault="00CD24BC" w:rsidP="00CD24BC">
          <w:pPr>
            <w:pStyle w:val="Encabezado"/>
            <w:ind w:left="110"/>
            <w:rPr>
              <w:rFonts w:ascii="Arial" w:hAnsi="Arial"/>
              <w:b/>
              <w:bCs/>
              <w:sz w:val="17"/>
              <w:szCs w:val="17"/>
            </w:rPr>
          </w:pPr>
          <w:r w:rsidRPr="004048C7">
            <w:rPr>
              <w:rFonts w:ascii="Arial" w:hAnsi="Arial"/>
              <w:b/>
              <w:bCs/>
              <w:sz w:val="17"/>
              <w:szCs w:val="17"/>
            </w:rPr>
            <w:t>H. Congreso del Estado de Yucatán</w:t>
          </w:r>
        </w:p>
        <w:p w14:paraId="1908AECE" w14:textId="77777777" w:rsidR="00CD24BC" w:rsidRPr="004048C7" w:rsidRDefault="00CD24BC" w:rsidP="00CD24BC">
          <w:pPr>
            <w:pStyle w:val="Encabezado"/>
            <w:ind w:left="110"/>
            <w:rPr>
              <w:rFonts w:ascii="Arial" w:hAnsi="Arial"/>
              <w:sz w:val="17"/>
              <w:szCs w:val="17"/>
            </w:rPr>
          </w:pPr>
          <w:r>
            <w:rPr>
              <w:rFonts w:ascii="Arial" w:hAnsi="Arial"/>
              <w:sz w:val="17"/>
              <w:szCs w:val="17"/>
            </w:rPr>
            <w:t>Secretaría General del Poder Legislativo</w:t>
          </w:r>
        </w:p>
        <w:p w14:paraId="7D26CCE1" w14:textId="77777777" w:rsidR="00CD24BC" w:rsidRPr="004048C7" w:rsidRDefault="00CD24BC" w:rsidP="00CD24BC">
          <w:pPr>
            <w:pStyle w:val="Encabezado"/>
            <w:ind w:left="110"/>
            <w:rPr>
              <w:rFonts w:ascii="Arial" w:hAnsi="Arial"/>
              <w:sz w:val="17"/>
              <w:szCs w:val="17"/>
            </w:rPr>
          </w:pPr>
          <w:r w:rsidRPr="004048C7">
            <w:rPr>
              <w:rFonts w:ascii="Arial" w:hAnsi="Arial"/>
              <w:sz w:val="17"/>
              <w:szCs w:val="17"/>
            </w:rPr>
            <w:t>Unidad de Servicios Técnico-Legislativos</w:t>
          </w:r>
        </w:p>
        <w:p w14:paraId="548ECED8" w14:textId="77777777" w:rsidR="00CD24BC" w:rsidRDefault="00CD24BC" w:rsidP="00CD24BC">
          <w:pPr>
            <w:pStyle w:val="Encabezado"/>
            <w:ind w:left="-70"/>
            <w:rPr>
              <w:rFonts w:ascii="Arial Narrow" w:hAnsi="Arial Narrow" w:cs="Arial Narrow"/>
              <w:sz w:val="4"/>
              <w:szCs w:val="4"/>
            </w:rPr>
          </w:pPr>
        </w:p>
      </w:tc>
      <w:tc>
        <w:tcPr>
          <w:tcW w:w="4788" w:type="dxa"/>
        </w:tcPr>
        <w:p w14:paraId="05A21F18" w14:textId="77777777" w:rsidR="00CD24BC" w:rsidRDefault="00CD24BC" w:rsidP="00CD24BC">
          <w:pPr>
            <w:pStyle w:val="Encabezado"/>
            <w:ind w:left="-70"/>
            <w:jc w:val="right"/>
            <w:rPr>
              <w:rFonts w:ascii="Arial" w:hAnsi="Arial"/>
              <w:i/>
              <w:iCs/>
              <w:sz w:val="18"/>
              <w:szCs w:val="18"/>
            </w:rPr>
          </w:pPr>
          <w:r>
            <w:rPr>
              <w:rFonts w:ascii="Arial" w:hAnsi="Arial"/>
              <w:i/>
              <w:iCs/>
              <w:sz w:val="18"/>
              <w:szCs w:val="18"/>
            </w:rPr>
            <w:t>Nueva Publicación D.O. 30-diciembre-2024</w:t>
          </w:r>
        </w:p>
        <w:p w14:paraId="378FA167" w14:textId="77777777" w:rsidR="00CD24BC" w:rsidRPr="001D52AB" w:rsidRDefault="00CD24BC" w:rsidP="00CD24BC">
          <w:pPr>
            <w:pStyle w:val="Encabezado"/>
            <w:ind w:left="-70"/>
            <w:jc w:val="right"/>
            <w:rPr>
              <w:rFonts w:ascii="Arial" w:hAnsi="Arial"/>
              <w:i/>
              <w:iCs/>
              <w:sz w:val="18"/>
              <w:szCs w:val="18"/>
            </w:rPr>
          </w:pPr>
        </w:p>
      </w:tc>
    </w:tr>
    <w:bookmarkEnd w:id="8"/>
  </w:tbl>
  <w:p w14:paraId="0D39F3CA" w14:textId="35C25BC1" w:rsidR="00D529C6" w:rsidRDefault="00D529C6" w:rsidP="00D52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101ABC"/>
    <w:multiLevelType w:val="hybridMultilevel"/>
    <w:tmpl w:val="B920AFE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5" w15:restartNumberingAfterBreak="0">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0"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68466">
    <w:abstractNumId w:val="12"/>
  </w:num>
  <w:num w:numId="2" w16cid:durableId="1172187466">
    <w:abstractNumId w:val="5"/>
  </w:num>
  <w:num w:numId="3" w16cid:durableId="78213922">
    <w:abstractNumId w:val="13"/>
  </w:num>
  <w:num w:numId="4" w16cid:durableId="1917283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641797">
    <w:abstractNumId w:val="18"/>
  </w:num>
  <w:num w:numId="6" w16cid:durableId="1010640486">
    <w:abstractNumId w:val="3"/>
  </w:num>
  <w:num w:numId="7" w16cid:durableId="343939461">
    <w:abstractNumId w:val="2"/>
  </w:num>
  <w:num w:numId="8" w16cid:durableId="940453934">
    <w:abstractNumId w:val="1"/>
  </w:num>
  <w:num w:numId="9" w16cid:durableId="1370034798">
    <w:abstractNumId w:val="0"/>
  </w:num>
  <w:num w:numId="10" w16cid:durableId="1005282828">
    <w:abstractNumId w:val="16"/>
  </w:num>
  <w:num w:numId="11" w16cid:durableId="1989825304">
    <w:abstractNumId w:val="9"/>
  </w:num>
  <w:num w:numId="12" w16cid:durableId="990981383">
    <w:abstractNumId w:val="19"/>
  </w:num>
  <w:num w:numId="13" w16cid:durableId="1781678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814784">
    <w:abstractNumId w:val="14"/>
  </w:num>
  <w:num w:numId="15" w16cid:durableId="362511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5956788">
    <w:abstractNumId w:val="15"/>
  </w:num>
  <w:num w:numId="17" w16cid:durableId="1391533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2722345">
    <w:abstractNumId w:val="20"/>
  </w:num>
  <w:num w:numId="19" w16cid:durableId="330833375">
    <w:abstractNumId w:val="8"/>
  </w:num>
  <w:num w:numId="20" w16cid:durableId="457189406">
    <w:abstractNumId w:val="21"/>
  </w:num>
  <w:num w:numId="21" w16cid:durableId="453914053">
    <w:abstractNumId w:val="7"/>
  </w:num>
  <w:num w:numId="22" w16cid:durableId="141191353">
    <w:abstractNumId w:val="11"/>
  </w:num>
  <w:num w:numId="23" w16cid:durableId="1688604118">
    <w:abstractNumId w:val="4"/>
  </w:num>
  <w:num w:numId="24" w16cid:durableId="1826163726">
    <w:abstractNumId w:val="6"/>
  </w:num>
  <w:num w:numId="25" w16cid:durableId="1899585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AR" w:vendorID="64" w:dllVersion="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84E"/>
    <w:rsid w:val="00043C5F"/>
    <w:rsid w:val="00044766"/>
    <w:rsid w:val="00051650"/>
    <w:rsid w:val="000524D5"/>
    <w:rsid w:val="00060E11"/>
    <w:rsid w:val="00060E8A"/>
    <w:rsid w:val="0006366B"/>
    <w:rsid w:val="000700DE"/>
    <w:rsid w:val="00070EE9"/>
    <w:rsid w:val="000723FD"/>
    <w:rsid w:val="00081D8B"/>
    <w:rsid w:val="00090B12"/>
    <w:rsid w:val="00091C05"/>
    <w:rsid w:val="000A0BC3"/>
    <w:rsid w:val="000A1580"/>
    <w:rsid w:val="000B1BCA"/>
    <w:rsid w:val="000C4EE0"/>
    <w:rsid w:val="000C51F2"/>
    <w:rsid w:val="000C59EE"/>
    <w:rsid w:val="000C669A"/>
    <w:rsid w:val="000C6AA7"/>
    <w:rsid w:val="000C6B69"/>
    <w:rsid w:val="000E72BB"/>
    <w:rsid w:val="000E7474"/>
    <w:rsid w:val="000E7FDB"/>
    <w:rsid w:val="000F1FEB"/>
    <w:rsid w:val="000F3D1B"/>
    <w:rsid w:val="000F3F8A"/>
    <w:rsid w:val="000F6B3A"/>
    <w:rsid w:val="001026D6"/>
    <w:rsid w:val="00105B19"/>
    <w:rsid w:val="00105F23"/>
    <w:rsid w:val="00107D67"/>
    <w:rsid w:val="001119AF"/>
    <w:rsid w:val="00116209"/>
    <w:rsid w:val="00117D01"/>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323"/>
    <w:rsid w:val="001C4B69"/>
    <w:rsid w:val="001C67A3"/>
    <w:rsid w:val="001D11F7"/>
    <w:rsid w:val="001D18CF"/>
    <w:rsid w:val="001D4387"/>
    <w:rsid w:val="001D4CF8"/>
    <w:rsid w:val="001D5E62"/>
    <w:rsid w:val="001D73E1"/>
    <w:rsid w:val="001E191A"/>
    <w:rsid w:val="001E34E0"/>
    <w:rsid w:val="001E5F90"/>
    <w:rsid w:val="001E7D2D"/>
    <w:rsid w:val="001F1226"/>
    <w:rsid w:val="001F21BF"/>
    <w:rsid w:val="001F23E2"/>
    <w:rsid w:val="001F2F84"/>
    <w:rsid w:val="001F7035"/>
    <w:rsid w:val="0020197D"/>
    <w:rsid w:val="00202E97"/>
    <w:rsid w:val="00204073"/>
    <w:rsid w:val="002049E1"/>
    <w:rsid w:val="00205AF9"/>
    <w:rsid w:val="002076E2"/>
    <w:rsid w:val="00210EEC"/>
    <w:rsid w:val="002147F8"/>
    <w:rsid w:val="002175EE"/>
    <w:rsid w:val="00221955"/>
    <w:rsid w:val="00222E9D"/>
    <w:rsid w:val="00225510"/>
    <w:rsid w:val="00226345"/>
    <w:rsid w:val="002327EE"/>
    <w:rsid w:val="002328FC"/>
    <w:rsid w:val="00234148"/>
    <w:rsid w:val="002408D7"/>
    <w:rsid w:val="00242DB7"/>
    <w:rsid w:val="00243CFC"/>
    <w:rsid w:val="00244C55"/>
    <w:rsid w:val="00257082"/>
    <w:rsid w:val="00257EC5"/>
    <w:rsid w:val="00265508"/>
    <w:rsid w:val="002664DC"/>
    <w:rsid w:val="0027176F"/>
    <w:rsid w:val="00271F1A"/>
    <w:rsid w:val="002774FC"/>
    <w:rsid w:val="002842D8"/>
    <w:rsid w:val="002855E7"/>
    <w:rsid w:val="00287FEB"/>
    <w:rsid w:val="00297926"/>
    <w:rsid w:val="002A236D"/>
    <w:rsid w:val="002B1603"/>
    <w:rsid w:val="002B3741"/>
    <w:rsid w:val="002B5045"/>
    <w:rsid w:val="002B7B9A"/>
    <w:rsid w:val="002C1A76"/>
    <w:rsid w:val="002C1D1A"/>
    <w:rsid w:val="002C753B"/>
    <w:rsid w:val="002C7EAD"/>
    <w:rsid w:val="002D0DE7"/>
    <w:rsid w:val="002D0F79"/>
    <w:rsid w:val="002D10D3"/>
    <w:rsid w:val="002D6181"/>
    <w:rsid w:val="002E1A7A"/>
    <w:rsid w:val="002F4B9D"/>
    <w:rsid w:val="002F59B3"/>
    <w:rsid w:val="002F5C7A"/>
    <w:rsid w:val="002F73A5"/>
    <w:rsid w:val="002F76AD"/>
    <w:rsid w:val="003034D5"/>
    <w:rsid w:val="00306843"/>
    <w:rsid w:val="00310150"/>
    <w:rsid w:val="00310529"/>
    <w:rsid w:val="00315884"/>
    <w:rsid w:val="00315C10"/>
    <w:rsid w:val="003224C1"/>
    <w:rsid w:val="00322BBB"/>
    <w:rsid w:val="00330338"/>
    <w:rsid w:val="00334499"/>
    <w:rsid w:val="00335C58"/>
    <w:rsid w:val="0033687E"/>
    <w:rsid w:val="003379D4"/>
    <w:rsid w:val="00341416"/>
    <w:rsid w:val="00343D4A"/>
    <w:rsid w:val="003462B1"/>
    <w:rsid w:val="00356541"/>
    <w:rsid w:val="003641FF"/>
    <w:rsid w:val="00375C08"/>
    <w:rsid w:val="003776C6"/>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0639"/>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4E67"/>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0629"/>
    <w:rsid w:val="0060515E"/>
    <w:rsid w:val="00611DC4"/>
    <w:rsid w:val="006220C9"/>
    <w:rsid w:val="00622BF7"/>
    <w:rsid w:val="00625106"/>
    <w:rsid w:val="00625F37"/>
    <w:rsid w:val="00627FCB"/>
    <w:rsid w:val="00627FE7"/>
    <w:rsid w:val="00633CCE"/>
    <w:rsid w:val="006354DC"/>
    <w:rsid w:val="006366D6"/>
    <w:rsid w:val="00641370"/>
    <w:rsid w:val="006430A7"/>
    <w:rsid w:val="00643330"/>
    <w:rsid w:val="0066550C"/>
    <w:rsid w:val="00691BBA"/>
    <w:rsid w:val="00692BCD"/>
    <w:rsid w:val="0069377B"/>
    <w:rsid w:val="006964C8"/>
    <w:rsid w:val="006A4CD2"/>
    <w:rsid w:val="006A628C"/>
    <w:rsid w:val="006B17E5"/>
    <w:rsid w:val="006B3653"/>
    <w:rsid w:val="006B6141"/>
    <w:rsid w:val="006C022F"/>
    <w:rsid w:val="006D364C"/>
    <w:rsid w:val="006E2CD4"/>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1FEF"/>
    <w:rsid w:val="007D3C2B"/>
    <w:rsid w:val="007D6679"/>
    <w:rsid w:val="007D7E52"/>
    <w:rsid w:val="007E391C"/>
    <w:rsid w:val="007E4376"/>
    <w:rsid w:val="007E5EFF"/>
    <w:rsid w:val="007F6117"/>
    <w:rsid w:val="008112EB"/>
    <w:rsid w:val="00815781"/>
    <w:rsid w:val="00816014"/>
    <w:rsid w:val="00821A14"/>
    <w:rsid w:val="0082640A"/>
    <w:rsid w:val="00833F1F"/>
    <w:rsid w:val="008357AE"/>
    <w:rsid w:val="00836510"/>
    <w:rsid w:val="00836762"/>
    <w:rsid w:val="008408C8"/>
    <w:rsid w:val="00840A48"/>
    <w:rsid w:val="0085058E"/>
    <w:rsid w:val="00856337"/>
    <w:rsid w:val="008632A4"/>
    <w:rsid w:val="008654D1"/>
    <w:rsid w:val="00865685"/>
    <w:rsid w:val="00866779"/>
    <w:rsid w:val="00874450"/>
    <w:rsid w:val="00876F49"/>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0A73"/>
    <w:rsid w:val="00901D75"/>
    <w:rsid w:val="00902086"/>
    <w:rsid w:val="009035F2"/>
    <w:rsid w:val="00912CE9"/>
    <w:rsid w:val="00912FBF"/>
    <w:rsid w:val="009143C8"/>
    <w:rsid w:val="00914E1D"/>
    <w:rsid w:val="009153EA"/>
    <w:rsid w:val="00926244"/>
    <w:rsid w:val="009414E9"/>
    <w:rsid w:val="00950DF1"/>
    <w:rsid w:val="00951969"/>
    <w:rsid w:val="009578EB"/>
    <w:rsid w:val="00961361"/>
    <w:rsid w:val="00963374"/>
    <w:rsid w:val="00965B9A"/>
    <w:rsid w:val="00966078"/>
    <w:rsid w:val="00967C20"/>
    <w:rsid w:val="00983CD2"/>
    <w:rsid w:val="00993AB3"/>
    <w:rsid w:val="00994A1C"/>
    <w:rsid w:val="00996208"/>
    <w:rsid w:val="009A0A9C"/>
    <w:rsid w:val="009A6374"/>
    <w:rsid w:val="009B4AE2"/>
    <w:rsid w:val="009B787C"/>
    <w:rsid w:val="009C14F1"/>
    <w:rsid w:val="009C1F1D"/>
    <w:rsid w:val="009C3A85"/>
    <w:rsid w:val="009C3E88"/>
    <w:rsid w:val="009C76E2"/>
    <w:rsid w:val="009D6F2F"/>
    <w:rsid w:val="009E35ED"/>
    <w:rsid w:val="009E5E06"/>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2F5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376AB"/>
    <w:rsid w:val="00B53C51"/>
    <w:rsid w:val="00B63C82"/>
    <w:rsid w:val="00B67D6D"/>
    <w:rsid w:val="00B70DF2"/>
    <w:rsid w:val="00B710A4"/>
    <w:rsid w:val="00B81554"/>
    <w:rsid w:val="00B85DA6"/>
    <w:rsid w:val="00B90219"/>
    <w:rsid w:val="00B95B3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0922"/>
    <w:rsid w:val="00C3333A"/>
    <w:rsid w:val="00C35621"/>
    <w:rsid w:val="00C44FA7"/>
    <w:rsid w:val="00C50F66"/>
    <w:rsid w:val="00C529FE"/>
    <w:rsid w:val="00C612D1"/>
    <w:rsid w:val="00C61DE0"/>
    <w:rsid w:val="00C64E1B"/>
    <w:rsid w:val="00C66231"/>
    <w:rsid w:val="00C704CA"/>
    <w:rsid w:val="00C77EFB"/>
    <w:rsid w:val="00C81255"/>
    <w:rsid w:val="00C82AAD"/>
    <w:rsid w:val="00C9068C"/>
    <w:rsid w:val="00C96252"/>
    <w:rsid w:val="00CA2380"/>
    <w:rsid w:val="00CA35B0"/>
    <w:rsid w:val="00CA4106"/>
    <w:rsid w:val="00CA7C8E"/>
    <w:rsid w:val="00CB1E7A"/>
    <w:rsid w:val="00CB3CF2"/>
    <w:rsid w:val="00CB55B5"/>
    <w:rsid w:val="00CB5D0E"/>
    <w:rsid w:val="00CB6510"/>
    <w:rsid w:val="00CC31FE"/>
    <w:rsid w:val="00CC722D"/>
    <w:rsid w:val="00CD24BC"/>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29C6"/>
    <w:rsid w:val="00D556C9"/>
    <w:rsid w:val="00D55D07"/>
    <w:rsid w:val="00D61AD6"/>
    <w:rsid w:val="00D63A75"/>
    <w:rsid w:val="00D70E9A"/>
    <w:rsid w:val="00D756DE"/>
    <w:rsid w:val="00D75CA4"/>
    <w:rsid w:val="00D81B44"/>
    <w:rsid w:val="00D82063"/>
    <w:rsid w:val="00D83D56"/>
    <w:rsid w:val="00D84B74"/>
    <w:rsid w:val="00D9105A"/>
    <w:rsid w:val="00D92FD1"/>
    <w:rsid w:val="00D93419"/>
    <w:rsid w:val="00DA632F"/>
    <w:rsid w:val="00DB020E"/>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1734"/>
    <w:rsid w:val="00E32234"/>
    <w:rsid w:val="00E36711"/>
    <w:rsid w:val="00E3766D"/>
    <w:rsid w:val="00E43FED"/>
    <w:rsid w:val="00E467A7"/>
    <w:rsid w:val="00E53B20"/>
    <w:rsid w:val="00E548AB"/>
    <w:rsid w:val="00E63ED7"/>
    <w:rsid w:val="00E65897"/>
    <w:rsid w:val="00E7148C"/>
    <w:rsid w:val="00E72939"/>
    <w:rsid w:val="00E735FA"/>
    <w:rsid w:val="00E75F53"/>
    <w:rsid w:val="00E807D3"/>
    <w:rsid w:val="00E86995"/>
    <w:rsid w:val="00E92A73"/>
    <w:rsid w:val="00E92D4A"/>
    <w:rsid w:val="00E93886"/>
    <w:rsid w:val="00E952E3"/>
    <w:rsid w:val="00EA2308"/>
    <w:rsid w:val="00EA46BC"/>
    <w:rsid w:val="00EB4F44"/>
    <w:rsid w:val="00EC44B7"/>
    <w:rsid w:val="00EC69D5"/>
    <w:rsid w:val="00EC798E"/>
    <w:rsid w:val="00ED24B5"/>
    <w:rsid w:val="00ED5225"/>
    <w:rsid w:val="00EF1343"/>
    <w:rsid w:val="00EF7346"/>
    <w:rsid w:val="00F02DCB"/>
    <w:rsid w:val="00F04807"/>
    <w:rsid w:val="00F06907"/>
    <w:rsid w:val="00F101FA"/>
    <w:rsid w:val="00F12B49"/>
    <w:rsid w:val="00F12D0A"/>
    <w:rsid w:val="00F13F84"/>
    <w:rsid w:val="00F16D56"/>
    <w:rsid w:val="00F20830"/>
    <w:rsid w:val="00F222EC"/>
    <w:rsid w:val="00F24266"/>
    <w:rsid w:val="00F26360"/>
    <w:rsid w:val="00F31AD9"/>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3722"/>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11CD1806"/>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eader Char Car,Header Char Car Car Car Car Car,Header Char Car Car Car Car, Car7"/>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735467"/>
    <w:pPr>
      <w:spacing w:after="0" w:line="240" w:lineRule="auto"/>
      <w:jc w:val="both"/>
    </w:pPr>
    <w:rPr>
      <w:sz w:val="20"/>
      <w:szCs w:val="20"/>
      <w:vertAlign w:val="superscript"/>
      <w:lang w:eastAsia="es-MX"/>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nhideWhenUsed/>
    <w:qFormat/>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rsid w:val="00CD24BC"/>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E0E3-9C3F-48CD-B25D-5D1A2D61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46</Pages>
  <Words>12196</Words>
  <Characters>67082</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15</cp:revision>
  <cp:lastPrinted>2024-12-10T18:51:00Z</cp:lastPrinted>
  <dcterms:created xsi:type="dcterms:W3CDTF">2024-09-19T16:03:00Z</dcterms:created>
  <dcterms:modified xsi:type="dcterms:W3CDTF">2025-01-30T17:55:00Z</dcterms:modified>
</cp:coreProperties>
</file>